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0F321" w14:textId="77777777" w:rsidR="000B5612" w:rsidRDefault="000B5612" w:rsidP="000B5612">
      <w:pPr>
        <w:pStyle w:val="WJS-c-Authorsname"/>
        <w:spacing w:after="0"/>
        <w:jc w:val="center"/>
        <w:rPr>
          <w:rFonts w:ascii="Times New Roman" w:hAnsi="Times New Roman" w:cs="Times New Roman"/>
          <w:sz w:val="30"/>
          <w:szCs w:val="30"/>
        </w:rPr>
      </w:pPr>
    </w:p>
    <w:p w14:paraId="7D8C06E2" w14:textId="77777777" w:rsidR="00022C1A" w:rsidRDefault="00022C1A" w:rsidP="00022C1A">
      <w:pPr>
        <w:pStyle w:val="WJS-c-Authorsname"/>
        <w:spacing w:after="0"/>
        <w:jc w:val="center"/>
        <w:rPr>
          <w:rFonts w:ascii="Times New Roman" w:hAnsi="Times New Roman" w:cs="Times New Roman"/>
          <w:sz w:val="30"/>
          <w:szCs w:val="30"/>
        </w:rPr>
      </w:pPr>
      <w:bookmarkStart w:id="0" w:name="_Hlk219541237"/>
      <w:r w:rsidRPr="00022C1A">
        <w:rPr>
          <w:rFonts w:ascii="Times New Roman" w:hAnsi="Times New Roman" w:cs="Times New Roman"/>
          <w:sz w:val="30"/>
          <w:szCs w:val="30"/>
        </w:rPr>
        <w:t xml:space="preserve">Assessment </w:t>
      </w:r>
      <w:r>
        <w:rPr>
          <w:rFonts w:ascii="Times New Roman" w:hAnsi="Times New Roman" w:cs="Times New Roman"/>
          <w:sz w:val="30"/>
          <w:szCs w:val="30"/>
        </w:rPr>
        <w:t>o</w:t>
      </w:r>
      <w:r w:rsidRPr="00022C1A">
        <w:rPr>
          <w:rFonts w:ascii="Times New Roman" w:hAnsi="Times New Roman" w:cs="Times New Roman"/>
          <w:sz w:val="30"/>
          <w:szCs w:val="30"/>
        </w:rPr>
        <w:t xml:space="preserve">f </w:t>
      </w:r>
      <w:r>
        <w:rPr>
          <w:rFonts w:ascii="Times New Roman" w:hAnsi="Times New Roman" w:cs="Times New Roman"/>
          <w:sz w:val="30"/>
          <w:szCs w:val="30"/>
        </w:rPr>
        <w:t>t</w:t>
      </w:r>
      <w:r w:rsidRPr="00022C1A">
        <w:rPr>
          <w:rFonts w:ascii="Times New Roman" w:hAnsi="Times New Roman" w:cs="Times New Roman"/>
          <w:sz w:val="30"/>
          <w:szCs w:val="30"/>
        </w:rPr>
        <w:t xml:space="preserve">he Effectiveness </w:t>
      </w:r>
      <w:r>
        <w:rPr>
          <w:rFonts w:ascii="Times New Roman" w:hAnsi="Times New Roman" w:cs="Times New Roman"/>
          <w:sz w:val="30"/>
          <w:szCs w:val="30"/>
        </w:rPr>
        <w:t>o</w:t>
      </w:r>
      <w:r w:rsidRPr="00022C1A">
        <w:rPr>
          <w:rFonts w:ascii="Times New Roman" w:hAnsi="Times New Roman" w:cs="Times New Roman"/>
          <w:sz w:val="30"/>
          <w:szCs w:val="30"/>
        </w:rPr>
        <w:t xml:space="preserve">f </w:t>
      </w:r>
      <w:r>
        <w:rPr>
          <w:rFonts w:ascii="Times New Roman" w:hAnsi="Times New Roman" w:cs="Times New Roman"/>
          <w:sz w:val="30"/>
          <w:szCs w:val="30"/>
        </w:rPr>
        <w:t>t</w:t>
      </w:r>
      <w:r w:rsidRPr="00022C1A">
        <w:rPr>
          <w:rFonts w:ascii="Times New Roman" w:hAnsi="Times New Roman" w:cs="Times New Roman"/>
          <w:sz w:val="30"/>
          <w:szCs w:val="30"/>
        </w:rPr>
        <w:t xml:space="preserve">he Learning Interventions </w:t>
      </w:r>
    </w:p>
    <w:p w14:paraId="494FC3FB" w14:textId="31BB67DB" w:rsidR="00022C1A" w:rsidRDefault="00022C1A" w:rsidP="00022C1A">
      <w:pPr>
        <w:pStyle w:val="WJS-c-Authorsname"/>
        <w:spacing w:after="0"/>
        <w:jc w:val="center"/>
        <w:rPr>
          <w:rFonts w:ascii="Times New Roman" w:hAnsi="Times New Roman" w:cs="Times New Roman"/>
          <w:sz w:val="30"/>
          <w:szCs w:val="30"/>
        </w:rPr>
      </w:pPr>
      <w:r>
        <w:rPr>
          <w:rFonts w:ascii="Times New Roman" w:hAnsi="Times New Roman" w:cs="Times New Roman"/>
          <w:sz w:val="30"/>
          <w:szCs w:val="30"/>
        </w:rPr>
        <w:t>o</w:t>
      </w:r>
      <w:r w:rsidRPr="00022C1A">
        <w:rPr>
          <w:rFonts w:ascii="Times New Roman" w:hAnsi="Times New Roman" w:cs="Times New Roman"/>
          <w:sz w:val="30"/>
          <w:szCs w:val="30"/>
        </w:rPr>
        <w:t xml:space="preserve">n </w:t>
      </w:r>
      <w:r>
        <w:rPr>
          <w:rFonts w:ascii="Times New Roman" w:hAnsi="Times New Roman" w:cs="Times New Roman"/>
          <w:sz w:val="30"/>
          <w:szCs w:val="30"/>
        </w:rPr>
        <w:t>t</w:t>
      </w:r>
      <w:r w:rsidRPr="00022C1A">
        <w:rPr>
          <w:rFonts w:ascii="Times New Roman" w:hAnsi="Times New Roman" w:cs="Times New Roman"/>
          <w:sz w:val="30"/>
          <w:szCs w:val="30"/>
        </w:rPr>
        <w:t xml:space="preserve">he Job Performance </w:t>
      </w:r>
      <w:r>
        <w:rPr>
          <w:rFonts w:ascii="Times New Roman" w:hAnsi="Times New Roman" w:cs="Times New Roman"/>
          <w:sz w:val="30"/>
          <w:szCs w:val="30"/>
        </w:rPr>
        <w:t>o</w:t>
      </w:r>
      <w:r w:rsidRPr="00022C1A">
        <w:rPr>
          <w:rFonts w:ascii="Times New Roman" w:hAnsi="Times New Roman" w:cs="Times New Roman"/>
          <w:sz w:val="30"/>
          <w:szCs w:val="30"/>
        </w:rPr>
        <w:t>f</w:t>
      </w:r>
      <w:r>
        <w:rPr>
          <w:rFonts w:ascii="Times New Roman" w:hAnsi="Times New Roman" w:cs="Times New Roman"/>
          <w:sz w:val="30"/>
          <w:szCs w:val="30"/>
        </w:rPr>
        <w:t xml:space="preserve"> </w:t>
      </w:r>
      <w:r w:rsidRPr="00022C1A">
        <w:rPr>
          <w:rFonts w:ascii="Times New Roman" w:hAnsi="Times New Roman" w:cs="Times New Roman"/>
          <w:sz w:val="30"/>
          <w:szCs w:val="30"/>
        </w:rPr>
        <w:t xml:space="preserve">Selected Personnel </w:t>
      </w:r>
      <w:r>
        <w:rPr>
          <w:rFonts w:ascii="Times New Roman" w:hAnsi="Times New Roman" w:cs="Times New Roman"/>
          <w:sz w:val="30"/>
          <w:szCs w:val="30"/>
        </w:rPr>
        <w:t>o</w:t>
      </w:r>
      <w:r w:rsidRPr="00022C1A">
        <w:rPr>
          <w:rFonts w:ascii="Times New Roman" w:hAnsi="Times New Roman" w:cs="Times New Roman"/>
          <w:sz w:val="30"/>
          <w:szCs w:val="30"/>
        </w:rPr>
        <w:t>f P</w:t>
      </w:r>
      <w:r>
        <w:rPr>
          <w:rFonts w:ascii="Times New Roman" w:hAnsi="Times New Roman" w:cs="Times New Roman"/>
          <w:sz w:val="30"/>
          <w:szCs w:val="30"/>
        </w:rPr>
        <w:t>RC</w:t>
      </w:r>
      <w:r w:rsidRPr="00022C1A">
        <w:rPr>
          <w:rFonts w:ascii="Times New Roman" w:hAnsi="Times New Roman" w:cs="Times New Roman"/>
          <w:sz w:val="30"/>
          <w:szCs w:val="30"/>
        </w:rPr>
        <w:t xml:space="preserve"> </w:t>
      </w:r>
    </w:p>
    <w:p w14:paraId="67DE275A" w14:textId="0D1D2259" w:rsidR="00022C1A" w:rsidRDefault="00022C1A" w:rsidP="00022C1A">
      <w:pPr>
        <w:pStyle w:val="WJS-c-Authorsname"/>
        <w:spacing w:after="0"/>
        <w:jc w:val="center"/>
        <w:rPr>
          <w:rFonts w:ascii="Times New Roman" w:hAnsi="Times New Roman" w:cs="Times New Roman"/>
          <w:sz w:val="30"/>
          <w:szCs w:val="30"/>
        </w:rPr>
      </w:pPr>
      <w:r w:rsidRPr="00022C1A">
        <w:rPr>
          <w:rFonts w:ascii="Times New Roman" w:hAnsi="Times New Roman" w:cs="Times New Roman"/>
          <w:sz w:val="30"/>
          <w:szCs w:val="30"/>
        </w:rPr>
        <w:t>Towards</w:t>
      </w:r>
      <w:r>
        <w:rPr>
          <w:rFonts w:ascii="Times New Roman" w:hAnsi="Times New Roman" w:cs="Times New Roman"/>
          <w:sz w:val="30"/>
          <w:szCs w:val="30"/>
        </w:rPr>
        <w:t xml:space="preserve"> a</w:t>
      </w:r>
      <w:r w:rsidRPr="00022C1A">
        <w:rPr>
          <w:rFonts w:ascii="Times New Roman" w:hAnsi="Times New Roman" w:cs="Times New Roman"/>
          <w:sz w:val="30"/>
          <w:szCs w:val="30"/>
        </w:rPr>
        <w:t>n Enhanced Learning</w:t>
      </w:r>
      <w:r>
        <w:rPr>
          <w:rFonts w:ascii="Times New Roman" w:hAnsi="Times New Roman" w:cs="Times New Roman"/>
          <w:sz w:val="30"/>
          <w:szCs w:val="30"/>
        </w:rPr>
        <w:t xml:space="preserve"> </w:t>
      </w:r>
      <w:r w:rsidRPr="00022C1A">
        <w:rPr>
          <w:rFonts w:ascii="Times New Roman" w:hAnsi="Times New Roman" w:cs="Times New Roman"/>
          <w:sz w:val="30"/>
          <w:szCs w:val="30"/>
        </w:rPr>
        <w:t>Interventions</w:t>
      </w:r>
    </w:p>
    <w:bookmarkEnd w:id="0"/>
    <w:p w14:paraId="55E19B26" w14:textId="77777777" w:rsidR="00EC4F63" w:rsidRPr="00203004" w:rsidRDefault="00EC4F63" w:rsidP="00203004">
      <w:pPr>
        <w:pStyle w:val="WJS-d-Affiliations"/>
      </w:pPr>
    </w:p>
    <w:p w14:paraId="7EB639E4" w14:textId="4F98FF4B" w:rsidR="00022C1A" w:rsidRDefault="00022C1A" w:rsidP="0056197A">
      <w:pPr>
        <w:pStyle w:val="WJS-d-Affiliations"/>
        <w:jc w:val="center"/>
        <w:rPr>
          <w:rFonts w:ascii="Times New Roman" w:hAnsi="Times New Roman" w:cs="Times New Roman"/>
          <w:b/>
          <w:bCs/>
          <w:i w:val="0"/>
          <w:sz w:val="22"/>
        </w:rPr>
      </w:pPr>
      <w:r w:rsidRPr="00022C1A">
        <w:rPr>
          <w:rFonts w:ascii="Times New Roman" w:hAnsi="Times New Roman" w:cs="Times New Roman"/>
          <w:b/>
          <w:bCs/>
          <w:i w:val="0"/>
          <w:sz w:val="22"/>
        </w:rPr>
        <w:t>Ferdinand P. Quinicio</w:t>
      </w:r>
    </w:p>
    <w:p w14:paraId="2CFBBB1A" w14:textId="0A0FA6F8" w:rsidR="00022C1A" w:rsidRDefault="00022C1A" w:rsidP="00B75506">
      <w:pPr>
        <w:pStyle w:val="WJS-d-Affiliations"/>
        <w:jc w:val="center"/>
        <w:rPr>
          <w:rFonts w:ascii="Times New Roman" w:hAnsi="Times New Roman" w:cs="Times New Roman"/>
          <w:sz w:val="22"/>
        </w:rPr>
      </w:pPr>
      <w:r w:rsidRPr="00022C1A">
        <w:rPr>
          <w:rFonts w:ascii="Times New Roman" w:hAnsi="Times New Roman" w:cs="Times New Roman"/>
          <w:sz w:val="22"/>
        </w:rPr>
        <w:t>Polytechnic University of the Philippines Open University System</w:t>
      </w:r>
    </w:p>
    <w:p w14:paraId="52B63848" w14:textId="77777777" w:rsidR="0002171C" w:rsidRDefault="0002171C" w:rsidP="00B75506">
      <w:pPr>
        <w:pStyle w:val="WJS-d-Affiliations"/>
        <w:jc w:val="center"/>
        <w:rPr>
          <w:rFonts w:ascii="Times New Roman" w:hAnsi="Times New Roman" w:cs="Times New Roman"/>
          <w:sz w:val="22"/>
        </w:rPr>
      </w:pPr>
    </w:p>
    <w:p w14:paraId="503C7A89" w14:textId="11C6A115" w:rsidR="0056197A" w:rsidRPr="004914FB" w:rsidRDefault="0056197A" w:rsidP="0056197A">
      <w:pPr>
        <w:pStyle w:val="WJS-f-DOIinfo"/>
        <w:spacing w:after="0"/>
        <w:jc w:val="center"/>
        <w:rPr>
          <w:rFonts w:ascii="Times New Roman" w:hAnsi="Times New Roman" w:cs="Times New Roman"/>
        </w:rPr>
      </w:pPr>
      <w:r w:rsidRPr="004914FB">
        <w:rPr>
          <w:rFonts w:ascii="Times New Roman" w:hAnsi="Times New Roman" w:cs="Times New Roman"/>
          <w:color w:val="0000FF"/>
        </w:rPr>
        <w:t>Publication history:</w:t>
      </w:r>
      <w:r w:rsidRPr="004914FB">
        <w:rPr>
          <w:rFonts w:ascii="Times New Roman" w:hAnsi="Times New Roman" w:cs="Times New Roman"/>
          <w:i/>
          <w:iCs/>
        </w:rPr>
        <w:t xml:space="preserve"> </w:t>
      </w:r>
      <w:r w:rsidRPr="004914FB">
        <w:rPr>
          <w:rFonts w:ascii="Times New Roman" w:eastAsia="Times New Roman" w:hAnsi="Times New Roman" w:cs="Times New Roman"/>
          <w:color w:val="000000"/>
          <w:szCs w:val="20"/>
          <w:lang w:val="en-PH" w:eastAsia="en-PH"/>
        </w:rPr>
        <w:t xml:space="preserve">Received: </w:t>
      </w:r>
      <w:r w:rsidR="00F92A22">
        <w:rPr>
          <w:rFonts w:ascii="Times New Roman" w:eastAsia="Times New Roman" w:hAnsi="Times New Roman" w:cs="Times New Roman"/>
          <w:color w:val="000000"/>
          <w:szCs w:val="20"/>
          <w:lang w:val="en-PH" w:eastAsia="en-PH"/>
        </w:rPr>
        <w:t>March 7</w:t>
      </w:r>
      <w:r w:rsidR="00D415B7">
        <w:rPr>
          <w:rFonts w:ascii="Times New Roman" w:eastAsia="Times New Roman" w:hAnsi="Times New Roman" w:cs="Times New Roman"/>
          <w:color w:val="000000"/>
          <w:szCs w:val="20"/>
          <w:lang w:val="en-PH" w:eastAsia="en-PH"/>
        </w:rPr>
        <w:t>,</w:t>
      </w:r>
      <w:r w:rsidRPr="004914FB">
        <w:rPr>
          <w:rFonts w:ascii="Times New Roman" w:eastAsia="Times New Roman" w:hAnsi="Times New Roman" w:cs="Times New Roman"/>
          <w:color w:val="000000"/>
          <w:szCs w:val="20"/>
          <w:lang w:val="en-PH" w:eastAsia="en-PH"/>
        </w:rPr>
        <w:t xml:space="preserve"> 202</w:t>
      </w:r>
      <w:r w:rsidR="00022C1A">
        <w:rPr>
          <w:rFonts w:ascii="Times New Roman" w:eastAsia="Times New Roman" w:hAnsi="Times New Roman" w:cs="Times New Roman"/>
          <w:color w:val="000000"/>
          <w:szCs w:val="20"/>
          <w:lang w:val="en-PH" w:eastAsia="en-PH"/>
        </w:rPr>
        <w:t>6</w:t>
      </w:r>
      <w:r w:rsidRPr="004914FB">
        <w:rPr>
          <w:rFonts w:ascii="Times New Roman" w:eastAsia="Times New Roman" w:hAnsi="Times New Roman" w:cs="Times New Roman"/>
          <w:color w:val="000000"/>
          <w:szCs w:val="20"/>
          <w:lang w:val="en-PH" w:eastAsia="en-PH"/>
        </w:rPr>
        <w:t xml:space="preserve">; Revised: </w:t>
      </w:r>
      <w:r w:rsidR="00022C1A">
        <w:rPr>
          <w:rFonts w:ascii="Times New Roman" w:eastAsia="Times New Roman" w:hAnsi="Times New Roman" w:cs="Times New Roman"/>
          <w:color w:val="000000"/>
          <w:szCs w:val="20"/>
          <w:lang w:val="en-PH" w:eastAsia="en-PH"/>
        </w:rPr>
        <w:t>March 10</w:t>
      </w:r>
      <w:r w:rsidRPr="004914FB">
        <w:rPr>
          <w:rFonts w:ascii="Times New Roman" w:eastAsia="Times New Roman" w:hAnsi="Times New Roman" w:cs="Times New Roman"/>
          <w:color w:val="000000"/>
          <w:szCs w:val="20"/>
          <w:lang w:val="en-PH" w:eastAsia="en-PH"/>
        </w:rPr>
        <w:t xml:space="preserve">, 2026; Accepted: </w:t>
      </w:r>
      <w:r w:rsidR="00022C1A">
        <w:rPr>
          <w:rFonts w:ascii="Times New Roman" w:eastAsia="Times New Roman" w:hAnsi="Times New Roman" w:cs="Times New Roman"/>
          <w:color w:val="000000"/>
          <w:szCs w:val="20"/>
          <w:lang w:val="en-PH" w:eastAsia="en-PH"/>
        </w:rPr>
        <w:t>March</w:t>
      </w:r>
      <w:r w:rsidR="008815BC">
        <w:rPr>
          <w:rFonts w:ascii="Times New Roman" w:eastAsia="Times New Roman" w:hAnsi="Times New Roman" w:cs="Times New Roman"/>
          <w:color w:val="000000"/>
          <w:szCs w:val="20"/>
          <w:lang w:val="en-PH" w:eastAsia="en-PH"/>
        </w:rPr>
        <w:t xml:space="preserve"> 11</w:t>
      </w:r>
      <w:r w:rsidRPr="004914FB">
        <w:rPr>
          <w:rFonts w:ascii="Times New Roman" w:eastAsia="Times New Roman" w:hAnsi="Times New Roman" w:cs="Times New Roman"/>
          <w:color w:val="000000"/>
          <w:szCs w:val="20"/>
          <w:lang w:val="en-PH" w:eastAsia="en-PH"/>
        </w:rPr>
        <w:t>, 2026</w:t>
      </w:r>
    </w:p>
    <w:p w14:paraId="3B35ABE4" w14:textId="2377EBD2" w:rsidR="0056197A" w:rsidRPr="00DF18B1" w:rsidRDefault="0056197A" w:rsidP="0056197A">
      <w:pPr>
        <w:pStyle w:val="WJS-f-DOIinfo"/>
        <w:spacing w:after="0"/>
        <w:jc w:val="center"/>
        <w:rPr>
          <w:rFonts w:ascii="Times New Roman" w:hAnsi="Times New Roman" w:cs="Times New Roman"/>
        </w:rPr>
      </w:pPr>
      <w:r w:rsidRPr="004914FB">
        <w:rPr>
          <w:rFonts w:ascii="Times New Roman" w:hAnsi="Times New Roman" w:cs="Times New Roman"/>
        </w:rPr>
        <w:t xml:space="preserve">Email of Corresponding Author: </w:t>
      </w:r>
      <w:r w:rsidR="00022C1A" w:rsidRPr="00022C1A">
        <w:rPr>
          <w:rFonts w:ascii="Times New Roman" w:hAnsi="Times New Roman" w:cs="Times New Roman"/>
          <w:color w:val="0000FF"/>
          <w:u w:val="single"/>
        </w:rPr>
        <w:t>quinicioferdinand@gmail.com</w:t>
      </w:r>
    </w:p>
    <w:p w14:paraId="7FA02B28" w14:textId="21523EC6" w:rsidR="00FB5E23" w:rsidRPr="00A902A8" w:rsidRDefault="00FB5E23" w:rsidP="00341014">
      <w:pPr>
        <w:pStyle w:val="WJS-h-Abstracttitle"/>
        <w:jc w:val="center"/>
        <w:rPr>
          <w:rFonts w:ascii="Times New Roman" w:hAnsi="Times New Roman" w:cs="Times New Roman"/>
          <w:color w:val="984806" w:themeColor="accent6" w:themeShade="80"/>
        </w:rPr>
      </w:pPr>
      <w:r w:rsidRPr="00A902A8">
        <w:rPr>
          <w:rFonts w:ascii="Times New Roman" w:hAnsi="Times New Roman" w:cs="Times New Roman"/>
          <w:color w:val="984806" w:themeColor="accent6" w:themeShade="80"/>
        </w:rPr>
        <w:t>Abstract</w:t>
      </w:r>
    </w:p>
    <w:p w14:paraId="1B4D4D4A" w14:textId="69B5ACFE" w:rsidR="00022C1A" w:rsidRDefault="00022C1A" w:rsidP="0011251F">
      <w:r>
        <w:t>This study examines the relationship between learning interventions and employee performance among selected personnel of the Professional Regulation Commission (PRC) Central Office in Manila, Philippines. Grounded in Kirkpatrick’s Four-Level Training Evaluation Model, Human Capital Theory, and New Public Management (NPM) Theory, the research investigates how structured learning and development (L&amp;D) programs influence key performance indicators including work quality, efficiency, teamwork and collaboration, and adaptability. A mixed-method research design was employed, combining a descriptive-correlational quantitative approach with qualitative insights from key informant interviews. Quantitative data were collected through a structured survey questionnaire administered to 171 PRC personnel who had participated in at least one learning intervention between 2022 and 2024, while qualitative data were obtained through interviews with five informants involved in training planning and implementation. Descriptive statistics and Pearson correlation analysis were used to analyze quantitative data, while thematic analysis was applied to qualitative responses. Findings revealed that PRC learning interventions received highly positive evaluations across reaction, learning, behavior, and results dimensions. Employees reported high levels of performance in work quality (M = 3.62), work efficiency (M = 3.58), teamwork and collaboration (M = 3.80), and adaptability (M = 3.60). Statistical analysis indicated a significant and moderately positive relationship between learning interventions and overall employee performance (r = 0.650, p = 0.0001), suggesting that structured training programs contribute to improved workplace competencies and productivity. Despite these positive outcomes, challenges such as limited resources, workload constraints, and the need for more strategic training planning were identified. The study recommends strengthening training evaluation systems, expanding digital skills and leadership development programs, and implementing post-training reinforcement mechanisms such as mentoring and coaching to sustain performance improvements. The study supports Sustainable Development Goal (SDG) 8: Decent Work and Economic Growth, SDG 16: Peace, Justice, and Strong Institutions, and SDG 4: Quality Education, as it highlights the importance of continuous professional development in strengthening workforce competence and improving institutional performance. By providing empirical evidence on the effectiveness of learning interventions in a government regulatory agency, the research contributes to institutional sustainability and public sector capacity-building, supporting evidence-based human resource development and improved public service delivery.</w:t>
      </w:r>
    </w:p>
    <w:p w14:paraId="7461D434" w14:textId="521E2671" w:rsidR="00684AD7" w:rsidRPr="0011251F" w:rsidRDefault="00FB5E23" w:rsidP="0011251F">
      <w:pPr>
        <w:pStyle w:val="WJS-j-Keywords"/>
        <w:rPr>
          <w:rFonts w:ascii="Times New Roman" w:hAnsi="Times New Roman" w:cs="Times New Roman"/>
          <w:b w:val="0"/>
          <w:bCs/>
          <w:szCs w:val="20"/>
        </w:rPr>
      </w:pPr>
      <w:r w:rsidRPr="00A902A8">
        <w:rPr>
          <w:rFonts w:ascii="Times New Roman" w:hAnsi="Times New Roman" w:cs="Times New Roman"/>
          <w:color w:val="984806" w:themeColor="accent6" w:themeShade="80"/>
          <w:sz w:val="22"/>
          <w:szCs w:val="24"/>
        </w:rPr>
        <w:t>Keywords:</w:t>
      </w:r>
      <w:r w:rsidR="001E6358" w:rsidRPr="00A902A8">
        <w:rPr>
          <w:rFonts w:ascii="Times New Roman" w:hAnsi="Times New Roman" w:cs="Times New Roman"/>
          <w:color w:val="984806" w:themeColor="accent6" w:themeShade="80"/>
          <w:sz w:val="22"/>
          <w:szCs w:val="24"/>
        </w:rPr>
        <w:t xml:space="preserve"> </w:t>
      </w:r>
      <w:r w:rsidR="00022C1A" w:rsidRPr="00022C1A">
        <w:rPr>
          <w:rFonts w:ascii="Times New Roman" w:hAnsi="Times New Roman" w:cs="Times New Roman"/>
          <w:b w:val="0"/>
          <w:bCs/>
          <w:szCs w:val="20"/>
        </w:rPr>
        <w:t>Adaptability; Employee performance; Learning and development; Public sector training; Teamwork and collaboration; Work efficiency; Work quality</w:t>
      </w:r>
    </w:p>
    <w:p w14:paraId="319C4DDB" w14:textId="0B29DB45" w:rsidR="008A59B2" w:rsidRDefault="008A59B2" w:rsidP="000B4B31">
      <w:pPr>
        <w:pStyle w:val="Heading1"/>
      </w:pPr>
      <w:bookmarkStart w:id="1" w:name="_Hlk224042391"/>
      <w:r w:rsidRPr="009B379E">
        <w:t>Introduction</w:t>
      </w:r>
      <w:r w:rsidR="000F4111" w:rsidRPr="009B379E">
        <w:t xml:space="preserve"> </w:t>
      </w:r>
    </w:p>
    <w:p w14:paraId="4A8C1A76" w14:textId="5C9D1E5C" w:rsidR="00B86828" w:rsidRDefault="00B86828" w:rsidP="00B86828">
      <w:pPr>
        <w:spacing w:after="0"/>
        <w:rPr>
          <w:rFonts w:ascii="Times New Roman" w:hAnsi="Times New Roman" w:cs="Times New Roman"/>
        </w:rPr>
      </w:pPr>
      <w:r w:rsidRPr="00B86828">
        <w:rPr>
          <w:rFonts w:ascii="Times New Roman" w:hAnsi="Times New Roman" w:cs="Times New Roman"/>
        </w:rPr>
        <w:t>Continuous professional development has become an essential strategy for improving organizational effectiveness and employee performance in public institutions worldwide (Harunavamwe &amp; Mnqayi, 2021). Government agencies increasingly implement structured learning interventions to equip employees with skills needed to meet evolving job demands and public expectations (Li, 2022). In the Philippine context, government agencies face growing pressure to provide efficient, transparent, and high-quality public services. The Professional Regulation Commission (PRC), tasked with regulating professional practice in the country, implements various learning and development (L&amp;D) programs including technical training, capability-building seminars, leadership development, and values formation workshops to strengthen personnel competence and institutional performance.</w:t>
      </w:r>
      <w:r>
        <w:rPr>
          <w:rFonts w:ascii="Times New Roman" w:hAnsi="Times New Roman" w:cs="Times New Roman"/>
        </w:rPr>
        <w:t xml:space="preserve"> </w:t>
      </w:r>
      <w:r w:rsidRPr="00B86828">
        <w:rPr>
          <w:rFonts w:ascii="Times New Roman" w:hAnsi="Times New Roman" w:cs="Times New Roman"/>
        </w:rPr>
        <w:t xml:space="preserve">Despite the implementation of these programs, empirical evidence regarding the direct relationship between learning interventions and employee performance within the PRC Central Office remains limited. Many training programs are implemented without systematic evaluation, creating uncertainty about whether these initiatives effectively enhance productivity, service quality, and professional behavior. This study therefore examines the relationship between learning interventions and employee performance among selected </w:t>
      </w:r>
      <w:r w:rsidRPr="00B86828">
        <w:rPr>
          <w:rFonts w:ascii="Times New Roman" w:hAnsi="Times New Roman" w:cs="Times New Roman"/>
        </w:rPr>
        <w:lastRenderedPageBreak/>
        <w:t>PRC Central Office personnel, focusing on performance indicators such as work quality, efficiency, teamwork, and adaptability.</w:t>
      </w:r>
    </w:p>
    <w:p w14:paraId="12A2A0A4" w14:textId="03F978AA" w:rsidR="00B86828" w:rsidRDefault="00B86828" w:rsidP="00B86828">
      <w:pPr>
        <w:spacing w:after="0"/>
        <w:rPr>
          <w:rFonts w:ascii="Times New Roman" w:hAnsi="Times New Roman" w:cs="Times New Roman"/>
        </w:rPr>
      </w:pPr>
    </w:p>
    <w:p w14:paraId="3C2348B4" w14:textId="77777777" w:rsidR="00B86828" w:rsidRPr="00B86828" w:rsidRDefault="00B86828" w:rsidP="00B86828">
      <w:pPr>
        <w:spacing w:after="0"/>
        <w:rPr>
          <w:rFonts w:ascii="Times New Roman" w:hAnsi="Times New Roman" w:cs="Times New Roman"/>
          <w:b/>
          <w:bCs/>
        </w:rPr>
      </w:pPr>
      <w:r w:rsidRPr="00B86828">
        <w:rPr>
          <w:rFonts w:ascii="Times New Roman" w:hAnsi="Times New Roman" w:cs="Times New Roman"/>
          <w:b/>
          <w:bCs/>
        </w:rPr>
        <w:t>1.1 Learning Interventions and Employee Performance in the Professional Regulation Commission (PRC) Central Office</w:t>
      </w:r>
    </w:p>
    <w:p w14:paraId="6E88E995" w14:textId="783B380F" w:rsidR="00B86828" w:rsidRPr="00B86828" w:rsidRDefault="00B86828" w:rsidP="00B86828">
      <w:pPr>
        <w:spacing w:after="0"/>
        <w:rPr>
          <w:rFonts w:ascii="Times New Roman" w:hAnsi="Times New Roman" w:cs="Times New Roman"/>
        </w:rPr>
      </w:pPr>
      <w:r w:rsidRPr="00B86828">
        <w:rPr>
          <w:rFonts w:ascii="Times New Roman" w:hAnsi="Times New Roman" w:cs="Times New Roman"/>
        </w:rPr>
        <w:t>Public sector institutions increasingly recognize learning interventions as strategic tools for enhancing workforce competence and improving organizational performance (Harunavamwe &amp; Mnqayi, 2021). Training programs allow employees to acquire new knowledge, develop skills, and adapt to changing professional demands, particularly within government agencies responsible for delivering public services (Li, 2022). In regulatory institutions such as the Professional Regulation Commission, the need for competent and responsive personnel is critical because the agency ensures professional standards and public trust in regulated professions.</w:t>
      </w:r>
      <w:r>
        <w:rPr>
          <w:rFonts w:ascii="Times New Roman" w:hAnsi="Times New Roman" w:cs="Times New Roman"/>
        </w:rPr>
        <w:t xml:space="preserve"> </w:t>
      </w:r>
      <w:r w:rsidRPr="00B86828">
        <w:rPr>
          <w:rFonts w:ascii="Times New Roman" w:hAnsi="Times New Roman" w:cs="Times New Roman"/>
        </w:rPr>
        <w:t>The PRC Central Office implements a range of learning interventions, including technical training, leadership development programs, capability-building seminars, and workshops focused on values formation. These programs aim to strengthen employee competence and improve institutional performance in response to increasing demands for efficiency, transparency, and responsiveness in public service.</w:t>
      </w:r>
      <w:r>
        <w:rPr>
          <w:rFonts w:ascii="Times New Roman" w:hAnsi="Times New Roman" w:cs="Times New Roman"/>
        </w:rPr>
        <w:t xml:space="preserve"> </w:t>
      </w:r>
      <w:r w:rsidRPr="00B86828">
        <w:rPr>
          <w:rFonts w:ascii="Times New Roman" w:hAnsi="Times New Roman" w:cs="Times New Roman"/>
        </w:rPr>
        <w:t>However, despite substantial investments in training programs, there is limited empirical evaluation of how such interventions influence employee performance outcomes. Many programs lack systematic assessment mechanisms that measure improvements in productivity, service quality, or workplace behavior. Without structured evaluation processes, training initiatives may become misaligned with institutional goals or fail to address actual competency needs. This study therefore seeks to determine how learning interventions influence employee performance among selected personnel of the PRC Central Office.</w:t>
      </w:r>
    </w:p>
    <w:p w14:paraId="1575ED58" w14:textId="77777777" w:rsidR="00B86828" w:rsidRPr="00B86828" w:rsidRDefault="00B86828" w:rsidP="00B86828">
      <w:pPr>
        <w:spacing w:after="0"/>
        <w:rPr>
          <w:rFonts w:ascii="Times New Roman" w:hAnsi="Times New Roman" w:cs="Times New Roman"/>
        </w:rPr>
      </w:pPr>
    </w:p>
    <w:p w14:paraId="681F1851" w14:textId="77777777" w:rsidR="00B86828" w:rsidRPr="00B86828" w:rsidRDefault="00B86828" w:rsidP="00B86828">
      <w:pPr>
        <w:spacing w:after="0"/>
        <w:rPr>
          <w:rFonts w:ascii="Times New Roman" w:hAnsi="Times New Roman" w:cs="Times New Roman"/>
          <w:b/>
          <w:bCs/>
        </w:rPr>
      </w:pPr>
      <w:r w:rsidRPr="00B86828">
        <w:rPr>
          <w:rFonts w:ascii="Times New Roman" w:hAnsi="Times New Roman" w:cs="Times New Roman"/>
          <w:b/>
          <w:bCs/>
        </w:rPr>
        <w:t>1.2 Learning and Development Interventions as Drivers of Employee Performance in Public Sector Organizations</w:t>
      </w:r>
    </w:p>
    <w:p w14:paraId="534678DF" w14:textId="73557405" w:rsidR="00B86828" w:rsidRPr="00B86828" w:rsidRDefault="00B86828" w:rsidP="00B86828">
      <w:pPr>
        <w:spacing w:after="0"/>
        <w:rPr>
          <w:rFonts w:ascii="Times New Roman" w:hAnsi="Times New Roman" w:cs="Times New Roman"/>
        </w:rPr>
      </w:pPr>
      <w:r w:rsidRPr="00B86828">
        <w:rPr>
          <w:rFonts w:ascii="Times New Roman" w:hAnsi="Times New Roman" w:cs="Times New Roman"/>
        </w:rPr>
        <w:t>Existing literature highlights the importance of learning and development programs in strengthening the competencies of government employees and improving organizational performance. Traditional training alone is insufficient to address the complex and evolving demands of public service; instead, learning initiatives must align with organizational goals and workforce competency needs (CABEM, 2024). Learning and development programs fill performance and competency gaps by enabling employees to acquire critical knowledge and skills necessary for effective management and operational efficiency (Estuche et al., 2024).</w:t>
      </w:r>
      <w:r>
        <w:rPr>
          <w:rFonts w:ascii="Times New Roman" w:hAnsi="Times New Roman" w:cs="Times New Roman"/>
        </w:rPr>
        <w:t xml:space="preserve"> </w:t>
      </w:r>
      <w:r w:rsidRPr="00B86828">
        <w:rPr>
          <w:rFonts w:ascii="Times New Roman" w:hAnsi="Times New Roman" w:cs="Times New Roman"/>
        </w:rPr>
        <w:t>In the Philippine context, organizations implement diverse training interventions such as technical skill development, leadership training, mentorship programs, and hybrid learning platforms to support workforce development (Tampon, 2024). These initiatives foster a culture of continuous learning and adaptability within institutions.</w:t>
      </w:r>
      <w:r>
        <w:rPr>
          <w:rFonts w:ascii="Times New Roman" w:hAnsi="Times New Roman" w:cs="Times New Roman"/>
        </w:rPr>
        <w:t xml:space="preserve"> </w:t>
      </w:r>
      <w:r w:rsidRPr="00B86828">
        <w:rPr>
          <w:rFonts w:ascii="Times New Roman" w:hAnsi="Times New Roman" w:cs="Times New Roman"/>
        </w:rPr>
        <w:t>Studies have also demonstrated the positive effects of learning programs on employee well-being and workplace performance. For instance, Jimenez and Velasco (2025) evaluated a behavioral intervention program for Cebu City government employees and found that participation in development activities significantly improved aspects of employee well-being, particularly social and intellectual wellness.</w:t>
      </w:r>
      <w:r>
        <w:rPr>
          <w:rFonts w:ascii="Times New Roman" w:hAnsi="Times New Roman" w:cs="Times New Roman"/>
        </w:rPr>
        <w:t xml:space="preserve"> </w:t>
      </w:r>
      <w:r w:rsidRPr="00B86828">
        <w:rPr>
          <w:rFonts w:ascii="Times New Roman" w:hAnsi="Times New Roman" w:cs="Times New Roman"/>
        </w:rPr>
        <w:t>Employee performance in public service is widely recognized as a critical factor in organizational success and public service delivery (Santillan, 2022). Workplace experiences significantly influence employees’ mental health, skills, and behavior, which in turn affect performance outcomes (Onwunyi &amp; Mba, 2021). Effective performance evaluation systems therefore play a strategic role in improving government organizational performance (Puspita Dewi et al., 2024).</w:t>
      </w:r>
      <w:r>
        <w:rPr>
          <w:rFonts w:ascii="Times New Roman" w:hAnsi="Times New Roman" w:cs="Times New Roman"/>
        </w:rPr>
        <w:t xml:space="preserve"> </w:t>
      </w:r>
      <w:r w:rsidRPr="00B86828">
        <w:rPr>
          <w:rFonts w:ascii="Times New Roman" w:hAnsi="Times New Roman" w:cs="Times New Roman"/>
        </w:rPr>
        <w:t>Research further shows that education and training initiatives contribute positively to bureaucratic performance and service delivery in local government institutions (Ruhana et al., 2023). However, organizational performance is also influenced by multiple factors such as motivation, incentives, leadership, and workplace environment (Elamalki et al., 2024). Studies demonstrate that training, leadership, and workplace conditions collectively affect employee performance (Ahma and Brhane, 2020), while training and development programs significantly enhance public service delivery through improved employee performance (Ismail Nor, 2023).</w:t>
      </w:r>
    </w:p>
    <w:p w14:paraId="5197EC2C" w14:textId="77777777" w:rsidR="00B86828" w:rsidRPr="00B86828" w:rsidRDefault="00B86828" w:rsidP="00B86828">
      <w:pPr>
        <w:spacing w:after="0"/>
        <w:rPr>
          <w:rFonts w:ascii="Times New Roman" w:hAnsi="Times New Roman" w:cs="Times New Roman"/>
        </w:rPr>
      </w:pPr>
    </w:p>
    <w:p w14:paraId="4C4C3E62" w14:textId="77777777" w:rsidR="00B86828" w:rsidRPr="00B86828" w:rsidRDefault="00B86828" w:rsidP="00B86828">
      <w:pPr>
        <w:spacing w:after="0"/>
        <w:rPr>
          <w:rFonts w:ascii="Times New Roman" w:hAnsi="Times New Roman" w:cs="Times New Roman"/>
          <w:b/>
          <w:bCs/>
        </w:rPr>
      </w:pPr>
      <w:r w:rsidRPr="00B86828">
        <w:rPr>
          <w:rFonts w:ascii="Times New Roman" w:hAnsi="Times New Roman" w:cs="Times New Roman"/>
          <w:b/>
          <w:bCs/>
        </w:rPr>
        <w:t>1.3 Learning Interventions and Public Sector Workforce Development in the Philippine and Global Context</w:t>
      </w:r>
    </w:p>
    <w:p w14:paraId="3ACBD6D0" w14:textId="704BDCF8" w:rsidR="00B86828" w:rsidRPr="00B86828" w:rsidRDefault="00B86828" w:rsidP="00B86828">
      <w:pPr>
        <w:spacing w:after="0"/>
        <w:rPr>
          <w:rFonts w:ascii="Times New Roman" w:hAnsi="Times New Roman" w:cs="Times New Roman"/>
        </w:rPr>
      </w:pPr>
      <w:r w:rsidRPr="00B86828">
        <w:rPr>
          <w:rFonts w:ascii="Times New Roman" w:hAnsi="Times New Roman" w:cs="Times New Roman"/>
        </w:rPr>
        <w:t>Globally, public sector organizations face increasing expectations to deliver efficient and high-quality services to citizens. Governments therefore prioritize workforce capacity-building initiatives to strengthen institutional performance and improve service delivery (Ghebregiorgis &amp; Negusse, 2022). Training and development programs help employees acquire new skills, adapt to changing work environments, and assume greater responsibilities within organizations (Ellis, 2024).</w:t>
      </w:r>
      <w:r>
        <w:rPr>
          <w:rFonts w:ascii="Times New Roman" w:hAnsi="Times New Roman" w:cs="Times New Roman"/>
        </w:rPr>
        <w:t xml:space="preserve"> </w:t>
      </w:r>
      <w:r w:rsidRPr="00B86828">
        <w:rPr>
          <w:rFonts w:ascii="Times New Roman" w:hAnsi="Times New Roman" w:cs="Times New Roman"/>
        </w:rPr>
        <w:t>In the Philippine public sector, learning interventions play a critical role in developing professional competencies and enhancing bureaucratic efficiency (Boongaling et al., 2020). However, many organizations struggle to achieve the full benefits of learning programs due to challenges in planning, implementation, evaluation, and optimization (Carruthers, 2024).</w:t>
      </w:r>
      <w:r>
        <w:rPr>
          <w:rFonts w:ascii="Times New Roman" w:hAnsi="Times New Roman" w:cs="Times New Roman"/>
        </w:rPr>
        <w:t xml:space="preserve"> </w:t>
      </w:r>
      <w:r w:rsidRPr="00B86828">
        <w:rPr>
          <w:rFonts w:ascii="Times New Roman" w:hAnsi="Times New Roman" w:cs="Times New Roman"/>
        </w:rPr>
        <w:t>Studies emphasize that career development initiatives improve employee commitment, competence, and productivity when supported by adequate institutional resources and policies (Nyoni, 2024). Effective training programs must also align with organizational goals and maximize the potential of employees to deliver quality public services (Mendoza and Bautista, 2022).</w:t>
      </w:r>
      <w:r>
        <w:rPr>
          <w:rFonts w:ascii="Times New Roman" w:hAnsi="Times New Roman" w:cs="Times New Roman"/>
        </w:rPr>
        <w:t xml:space="preserve"> </w:t>
      </w:r>
      <w:r w:rsidRPr="00B86828">
        <w:rPr>
          <w:rFonts w:ascii="Times New Roman" w:hAnsi="Times New Roman" w:cs="Times New Roman"/>
        </w:rPr>
        <w:t>Research in local government units further indicates that employees perceive training programs as beneficial for improving teamwork, communication, and service quality, although comprehensive training plans are still needed to ensure alignment with institutional objectives (Jinee et al., 2024). Organizational culture, leadership effectiveness, and employee engagement also play essential roles in enhancing the outcomes of training initiatives (Mohamed et al., 2025; Zweni, 2023; Jafri et al., 2025).</w:t>
      </w:r>
    </w:p>
    <w:p w14:paraId="38FCC4AD" w14:textId="77777777" w:rsidR="00B86828" w:rsidRPr="00B86828" w:rsidRDefault="00B86828" w:rsidP="00B86828">
      <w:pPr>
        <w:spacing w:after="0"/>
        <w:rPr>
          <w:rFonts w:ascii="Times New Roman" w:hAnsi="Times New Roman" w:cs="Times New Roman"/>
        </w:rPr>
      </w:pPr>
    </w:p>
    <w:p w14:paraId="5411F5E4" w14:textId="77777777" w:rsidR="00B86828" w:rsidRPr="00B86828" w:rsidRDefault="00B86828" w:rsidP="00B86828">
      <w:pPr>
        <w:spacing w:after="0"/>
        <w:rPr>
          <w:rFonts w:ascii="Times New Roman" w:hAnsi="Times New Roman" w:cs="Times New Roman"/>
          <w:b/>
          <w:bCs/>
        </w:rPr>
      </w:pPr>
      <w:r w:rsidRPr="00B86828">
        <w:rPr>
          <w:rFonts w:ascii="Times New Roman" w:hAnsi="Times New Roman" w:cs="Times New Roman"/>
          <w:b/>
          <w:bCs/>
        </w:rPr>
        <w:t>1.4 Theoretical Foundations Explaining the Relationship Between Learning Interventions and Employee Performance</w:t>
      </w:r>
    </w:p>
    <w:p w14:paraId="44A1ECA2" w14:textId="0BC1C313" w:rsidR="00B86828" w:rsidRPr="00B86828" w:rsidRDefault="00B86828" w:rsidP="00B86828">
      <w:pPr>
        <w:spacing w:after="0"/>
        <w:rPr>
          <w:rFonts w:ascii="Times New Roman" w:hAnsi="Times New Roman" w:cs="Times New Roman"/>
        </w:rPr>
      </w:pPr>
      <w:r w:rsidRPr="00B86828">
        <w:rPr>
          <w:rFonts w:ascii="Times New Roman" w:hAnsi="Times New Roman" w:cs="Times New Roman"/>
        </w:rPr>
        <w:t>This study is grounded in three complementary theoretical perspectives: Kirkpatrick’s Four-Level Training Evaluation Model, Human Capital Theory, and New Public Management (NPM) Theory.</w:t>
      </w:r>
      <w:r>
        <w:rPr>
          <w:rFonts w:ascii="Times New Roman" w:hAnsi="Times New Roman" w:cs="Times New Roman"/>
        </w:rPr>
        <w:t xml:space="preserve"> </w:t>
      </w:r>
      <w:r w:rsidRPr="00B86828">
        <w:rPr>
          <w:rFonts w:ascii="Times New Roman" w:hAnsi="Times New Roman" w:cs="Times New Roman"/>
        </w:rPr>
        <w:t>Kirkpatrick’s Four-Level Training Evaluation Model provides a systematic framework for assessing training effectiveness through four stages: reaction, learning, behavior, and results (Kirkpatrick &amp; Kirkpatrick, 2006). The model suggests that training effectiveness can be measured by examining participant satisfaction, knowledge acquisition, behavioral changes in the workplace, and broader organizational outcomes. In this study, particular emphasis is placed on behavioral change and performance outcomes as indicators of training effectiveness.</w:t>
      </w:r>
      <w:r>
        <w:rPr>
          <w:rFonts w:ascii="Times New Roman" w:hAnsi="Times New Roman" w:cs="Times New Roman"/>
        </w:rPr>
        <w:t xml:space="preserve"> </w:t>
      </w:r>
      <w:r w:rsidRPr="00B86828">
        <w:rPr>
          <w:rFonts w:ascii="Times New Roman" w:hAnsi="Times New Roman" w:cs="Times New Roman"/>
        </w:rPr>
        <w:t>Human Capital Theory explains that investments in education and training enhance workers’ productivity by improving their skills and competencies (Becker, 1993). Learning interventions therefore function as investments that strengthen employees’ technical expertise, improve efficiency, and enhance collaborative problem-solving capabilities within organizations.</w:t>
      </w:r>
      <w:r>
        <w:rPr>
          <w:rFonts w:ascii="Times New Roman" w:hAnsi="Times New Roman" w:cs="Times New Roman"/>
        </w:rPr>
        <w:t xml:space="preserve"> </w:t>
      </w:r>
      <w:r w:rsidRPr="00B86828">
        <w:rPr>
          <w:rFonts w:ascii="Times New Roman" w:hAnsi="Times New Roman" w:cs="Times New Roman"/>
        </w:rPr>
        <w:t>New Public Management Theory highlights the importance of efficiency, accountability, and performance-based management in the public sector (Hood, 1991). Within this framework, government institutions emphasize measurable results, effective service delivery, and adaptive organizational practices. Learning interventions aligned with NPM principles support improved employee performance by enhancing service quality, teamwork, and problem-solving capacity.</w:t>
      </w:r>
      <w:r>
        <w:rPr>
          <w:rFonts w:ascii="Times New Roman" w:hAnsi="Times New Roman" w:cs="Times New Roman"/>
        </w:rPr>
        <w:t xml:space="preserve"> </w:t>
      </w:r>
      <w:r w:rsidRPr="00B86828">
        <w:rPr>
          <w:rFonts w:ascii="Times New Roman" w:hAnsi="Times New Roman" w:cs="Times New Roman"/>
        </w:rPr>
        <w:t>Together, these theories provide a comprehensive framework for examining how learning interventions influence employee performance in terms of work quality, efficiency, teamwork and collaboration, and adaptability.</w:t>
      </w:r>
    </w:p>
    <w:p w14:paraId="12FFCA7C" w14:textId="77777777" w:rsidR="00B86828" w:rsidRPr="00B86828" w:rsidRDefault="00B86828" w:rsidP="00B86828">
      <w:pPr>
        <w:spacing w:after="0"/>
        <w:rPr>
          <w:rFonts w:ascii="Times New Roman" w:hAnsi="Times New Roman" w:cs="Times New Roman"/>
        </w:rPr>
      </w:pPr>
    </w:p>
    <w:p w14:paraId="7A07C365" w14:textId="77777777" w:rsidR="00B86828" w:rsidRPr="00B86828" w:rsidRDefault="00B86828" w:rsidP="00B86828">
      <w:pPr>
        <w:spacing w:after="0"/>
        <w:rPr>
          <w:rFonts w:ascii="Times New Roman" w:hAnsi="Times New Roman" w:cs="Times New Roman"/>
          <w:b/>
          <w:bCs/>
        </w:rPr>
      </w:pPr>
      <w:r w:rsidRPr="00B86828">
        <w:rPr>
          <w:rFonts w:ascii="Times New Roman" w:hAnsi="Times New Roman" w:cs="Times New Roman"/>
          <w:b/>
          <w:bCs/>
        </w:rPr>
        <w:t>1.5 Research Gap in Evaluating Learning Interventions and Employee Performance in the PRC Central Office</w:t>
      </w:r>
    </w:p>
    <w:p w14:paraId="5CE87159" w14:textId="5082FD79" w:rsidR="00B86828" w:rsidRPr="00B86828" w:rsidRDefault="00B86828" w:rsidP="00B86828">
      <w:pPr>
        <w:spacing w:after="0"/>
        <w:rPr>
          <w:rFonts w:ascii="Times New Roman" w:hAnsi="Times New Roman" w:cs="Times New Roman"/>
        </w:rPr>
      </w:pPr>
      <w:r w:rsidRPr="00B86828">
        <w:rPr>
          <w:rFonts w:ascii="Times New Roman" w:hAnsi="Times New Roman" w:cs="Times New Roman"/>
        </w:rPr>
        <w:t>Although numerous studies confirm that learning and development initiatives improve public sector performance, empirical evidence specific to the operational context of the Professional Regulation Commission remains limited. Existing research primarily focuses on national government agencies, local government units, or generalized public sector contexts without examining agency-specific outcomes.</w:t>
      </w:r>
      <w:r>
        <w:rPr>
          <w:rFonts w:ascii="Times New Roman" w:hAnsi="Times New Roman" w:cs="Times New Roman"/>
        </w:rPr>
        <w:t xml:space="preserve"> </w:t>
      </w:r>
      <w:r w:rsidRPr="00B86828">
        <w:rPr>
          <w:rFonts w:ascii="Times New Roman" w:hAnsi="Times New Roman" w:cs="Times New Roman"/>
        </w:rPr>
        <w:t>Moreover, many studies rely on perception-based assessments rather than quantitative analysis linking training participation to measurable performance indicators. As a result, there is insufficient evidence demonstrating how learning interventions influence productivity, efficiency, and professional behavior within the PRC Central Office.</w:t>
      </w:r>
      <w:r>
        <w:rPr>
          <w:rFonts w:ascii="Times New Roman" w:hAnsi="Times New Roman" w:cs="Times New Roman"/>
        </w:rPr>
        <w:t xml:space="preserve"> </w:t>
      </w:r>
      <w:r w:rsidRPr="00B86828">
        <w:rPr>
          <w:rFonts w:ascii="Times New Roman" w:hAnsi="Times New Roman" w:cs="Times New Roman"/>
        </w:rPr>
        <w:t>This research addresses this gap by systematically evaluating the relationship between learning interventions and employee performance among selected PRC personnel. By generating empirical evidence, the study aims to support evidence-based decision-making in the design, implementation, and evaluation of training programs within the agency.</w:t>
      </w:r>
    </w:p>
    <w:p w14:paraId="5C514CAE" w14:textId="77777777" w:rsidR="00B86828" w:rsidRPr="00B86828" w:rsidRDefault="00B86828" w:rsidP="00B86828">
      <w:pPr>
        <w:spacing w:after="0"/>
        <w:rPr>
          <w:rFonts w:ascii="Times New Roman" w:hAnsi="Times New Roman" w:cs="Times New Roman"/>
        </w:rPr>
      </w:pPr>
    </w:p>
    <w:p w14:paraId="35F797E3" w14:textId="77777777" w:rsidR="00B86828" w:rsidRPr="00B86828" w:rsidRDefault="00B86828" w:rsidP="00B86828">
      <w:pPr>
        <w:spacing w:after="0"/>
        <w:rPr>
          <w:rFonts w:ascii="Times New Roman" w:hAnsi="Times New Roman" w:cs="Times New Roman"/>
          <w:b/>
          <w:bCs/>
        </w:rPr>
      </w:pPr>
      <w:r w:rsidRPr="00B86828">
        <w:rPr>
          <w:rFonts w:ascii="Times New Roman" w:hAnsi="Times New Roman" w:cs="Times New Roman"/>
          <w:b/>
          <w:bCs/>
        </w:rPr>
        <w:t>1.6 Contribution of Learning Interventions in Public Sector Institutions to Sustainable Development Goals (SDGs)</w:t>
      </w:r>
    </w:p>
    <w:p w14:paraId="131FEC7B" w14:textId="6CCFE4A1" w:rsidR="00B86828" w:rsidRPr="00B86828" w:rsidRDefault="00B86828" w:rsidP="00B86828">
      <w:pPr>
        <w:spacing w:after="0"/>
        <w:rPr>
          <w:rFonts w:ascii="Times New Roman" w:hAnsi="Times New Roman" w:cs="Times New Roman"/>
        </w:rPr>
      </w:pPr>
      <w:r w:rsidRPr="00B86828">
        <w:rPr>
          <w:rFonts w:ascii="Times New Roman" w:hAnsi="Times New Roman" w:cs="Times New Roman"/>
        </w:rPr>
        <w:t>This study contributes to several Sustainable Development Goals related to public sector capacity development and institutional performance.</w:t>
      </w:r>
      <w:r>
        <w:rPr>
          <w:rFonts w:ascii="Times New Roman" w:hAnsi="Times New Roman" w:cs="Times New Roman"/>
        </w:rPr>
        <w:t xml:space="preserve"> </w:t>
      </w:r>
      <w:r w:rsidRPr="00B86828">
        <w:rPr>
          <w:rFonts w:ascii="Times New Roman" w:hAnsi="Times New Roman" w:cs="Times New Roman"/>
        </w:rPr>
        <w:t>The research supports SDG 8 – Decent Work and Economic Growth by strengthening workforce competence and productivity through effective learning and development programs. Enhancing employee skills and performance contributes to improved service delivery and institutional efficiency.</w:t>
      </w:r>
      <w:r>
        <w:rPr>
          <w:rFonts w:ascii="Times New Roman" w:hAnsi="Times New Roman" w:cs="Times New Roman"/>
        </w:rPr>
        <w:t xml:space="preserve"> </w:t>
      </w:r>
      <w:r w:rsidRPr="00B86828">
        <w:rPr>
          <w:rFonts w:ascii="Times New Roman" w:hAnsi="Times New Roman" w:cs="Times New Roman"/>
        </w:rPr>
        <w:t>The study also aligns with SDG 16 – Peace, Justice, and Strong Institutions, which emphasizes the development of effective, accountable, and transparent institutions. By evaluating the effectiveness of training programs in a government regulatory agency, the research contributes to strengthening institutional performance and governance.</w:t>
      </w:r>
      <w:r>
        <w:rPr>
          <w:rFonts w:ascii="Times New Roman" w:hAnsi="Times New Roman" w:cs="Times New Roman"/>
        </w:rPr>
        <w:t xml:space="preserve"> </w:t>
      </w:r>
      <w:r w:rsidRPr="00B86828">
        <w:rPr>
          <w:rFonts w:ascii="Times New Roman" w:hAnsi="Times New Roman" w:cs="Times New Roman"/>
        </w:rPr>
        <w:t>Additionally, the study supports SDG 4 – Quality Education, particularly in promoting lifelong learning opportunities for government employees through structured professional development programs.</w:t>
      </w:r>
    </w:p>
    <w:p w14:paraId="4ABFDE4F" w14:textId="77777777" w:rsidR="00B86828" w:rsidRPr="00B86828" w:rsidRDefault="00B86828" w:rsidP="00B86828">
      <w:pPr>
        <w:spacing w:after="0"/>
        <w:rPr>
          <w:rFonts w:ascii="Times New Roman" w:hAnsi="Times New Roman" w:cs="Times New Roman"/>
        </w:rPr>
      </w:pPr>
    </w:p>
    <w:p w14:paraId="3DC05C4F" w14:textId="77777777" w:rsidR="00B86828" w:rsidRPr="00B86828" w:rsidRDefault="00B86828" w:rsidP="00B86828">
      <w:pPr>
        <w:spacing w:after="0"/>
        <w:rPr>
          <w:rFonts w:ascii="Times New Roman" w:hAnsi="Times New Roman" w:cs="Times New Roman"/>
          <w:b/>
          <w:bCs/>
        </w:rPr>
      </w:pPr>
      <w:r w:rsidRPr="00B86828">
        <w:rPr>
          <w:rFonts w:ascii="Times New Roman" w:hAnsi="Times New Roman" w:cs="Times New Roman"/>
          <w:b/>
          <w:bCs/>
        </w:rPr>
        <w:t>1.7 Contribution of Learning Interventions and Employee Performance Research to Institutional and Socio-Economic Sustainability</w:t>
      </w:r>
    </w:p>
    <w:p w14:paraId="1496D75F" w14:textId="38B1948E" w:rsidR="00B86828" w:rsidRDefault="00B86828" w:rsidP="00B86828">
      <w:pPr>
        <w:spacing w:after="0"/>
        <w:rPr>
          <w:rFonts w:ascii="Times New Roman" w:hAnsi="Times New Roman" w:cs="Times New Roman"/>
        </w:rPr>
      </w:pPr>
      <w:r w:rsidRPr="00B86828">
        <w:rPr>
          <w:rFonts w:ascii="Times New Roman" w:hAnsi="Times New Roman" w:cs="Times New Roman"/>
        </w:rPr>
        <w:t>This research contributes to socio-economic sustainability by strengthening public sector capacity and improving the efficiency of government institutions responsible for professional regulation. Effective learning interventions enhance workforce competence, enabling institutions to deliver higher-quality public services.</w:t>
      </w:r>
      <w:r>
        <w:rPr>
          <w:rFonts w:ascii="Times New Roman" w:hAnsi="Times New Roman" w:cs="Times New Roman"/>
        </w:rPr>
        <w:t xml:space="preserve"> </w:t>
      </w:r>
      <w:r w:rsidRPr="00B86828">
        <w:rPr>
          <w:rFonts w:ascii="Times New Roman" w:hAnsi="Times New Roman" w:cs="Times New Roman"/>
        </w:rPr>
        <w:t>The study also supports institutional sustainability by promoting evidence-based approaches to human resource development. Evaluating the effectiveness of training programs allows organizations to allocate resources strategically and ensure that learning initiatives align with institutional goals and competency requirements.</w:t>
      </w:r>
      <w:r>
        <w:rPr>
          <w:rFonts w:ascii="Times New Roman" w:hAnsi="Times New Roman" w:cs="Times New Roman"/>
        </w:rPr>
        <w:t xml:space="preserve"> </w:t>
      </w:r>
      <w:r w:rsidRPr="00B86828">
        <w:rPr>
          <w:rFonts w:ascii="Times New Roman" w:hAnsi="Times New Roman" w:cs="Times New Roman"/>
        </w:rPr>
        <w:t>Furthermore, the research contributes to governance and policy sustainability by providing empirical insights that can inform capacity-building strategies across government agencies. By demonstrating how learning interventions influence employee performance, the study supports the broader objective of building a professional, motivated, and high-performing civil service capable of meeting evolving societal demands.</w:t>
      </w:r>
    </w:p>
    <w:p w14:paraId="1095FBAF" w14:textId="77777777" w:rsidR="00B86828" w:rsidRDefault="00B86828" w:rsidP="0002171C">
      <w:pPr>
        <w:spacing w:after="0"/>
        <w:rPr>
          <w:rFonts w:ascii="Times New Roman" w:hAnsi="Times New Roman" w:cs="Times New Roman"/>
        </w:rPr>
      </w:pPr>
    </w:p>
    <w:p w14:paraId="29B0FE30" w14:textId="3D9E64BF" w:rsidR="008A59B2" w:rsidRDefault="00C6041C" w:rsidP="000B4B31">
      <w:pPr>
        <w:pStyle w:val="Heading1"/>
      </w:pPr>
      <w:r>
        <w:t>Materials</w:t>
      </w:r>
      <w:r w:rsidR="008A59B2" w:rsidRPr="009B379E">
        <w:t xml:space="preserve"> and </w:t>
      </w:r>
      <w:r w:rsidR="003C6513" w:rsidRPr="009B379E">
        <w:t>m</w:t>
      </w:r>
      <w:r w:rsidR="008A59B2" w:rsidRPr="009B379E">
        <w:t>ethods</w:t>
      </w:r>
    </w:p>
    <w:p w14:paraId="2202AAF9" w14:textId="77777777" w:rsidR="00B86828" w:rsidRPr="00B86828" w:rsidRDefault="00B86828" w:rsidP="00B86828">
      <w:pPr>
        <w:spacing w:after="0"/>
        <w:rPr>
          <w:rFonts w:ascii="Times New Roman" w:hAnsi="Times New Roman" w:cs="Times New Roman"/>
          <w:b/>
          <w:bCs/>
          <w:lang w:val="en-GB"/>
        </w:rPr>
      </w:pPr>
      <w:r w:rsidRPr="00B86828">
        <w:rPr>
          <w:rFonts w:ascii="Times New Roman" w:hAnsi="Times New Roman" w:cs="Times New Roman"/>
          <w:b/>
          <w:bCs/>
          <w:lang w:val="en-GB"/>
        </w:rPr>
        <w:t>2.1 Research Design</w:t>
      </w:r>
    </w:p>
    <w:p w14:paraId="4A85B7E1" w14:textId="7167F102" w:rsidR="00B86828" w:rsidRPr="00B86828" w:rsidRDefault="00B86828" w:rsidP="00B86828">
      <w:pPr>
        <w:spacing w:after="0"/>
        <w:rPr>
          <w:rFonts w:ascii="Times New Roman" w:hAnsi="Times New Roman" w:cs="Times New Roman"/>
          <w:lang w:val="en-GB"/>
        </w:rPr>
      </w:pPr>
      <w:r w:rsidRPr="00B86828">
        <w:rPr>
          <w:rFonts w:ascii="Times New Roman" w:hAnsi="Times New Roman" w:cs="Times New Roman"/>
          <w:lang w:val="en-GB"/>
        </w:rPr>
        <w:t xml:space="preserve">The study employed a mixed research design combining a descriptive-correlational quantitative approach with qualitative data collection through key informant interviews. This approach allowed the researchers to obtain both statistical evidence </w:t>
      </w:r>
      <w:r w:rsidRPr="00B86828">
        <w:rPr>
          <w:rFonts w:ascii="Times New Roman" w:hAnsi="Times New Roman" w:cs="Times New Roman"/>
          <w:lang w:val="en-GB"/>
        </w:rPr>
        <w:lastRenderedPageBreak/>
        <w:t>and contextual insights regarding the relationship between learning interventions and employee performance at the PRC Central Office. The integration of quantitative and qualitative methods strengthens research validity because statistical analysis identifies relationships among variables while qualitative data provide deeper explanations of the findings (Creswell &amp; Plano Clark, 2018; Raimondo &amp; Newcomer, 2017). The quantitative component examined the types of learning interventions attended by personnel, the frequency of participation, and employee performance indicators such as work quality, efficiency, teamwork, and adaptability. The descriptive-correlational design enabled the researchers to determine the direction and strength of relationships between learning interventions and performance outcomes without manipulating variables or implementing experimental control. Quantitative research was appropriate because it objectively measures variables using numerical data for analysis (McMillan &amp; Schumacher, 2014). Descriptive-correlational research focuses on describing naturally occurring relationships between variables (Field, 2018). Data were gathered through a structured survey questionnaire administered to PRC Central Office personnel who had participated in at least one learning intervention between 2022 and 2024. Descriptive statistics such as frequency, percentage, and weighted mean were used to summarize patterns of participation and performance, while Pearson correlation analysis determined the relationship between learning interventions and employee performance (Field, 2018). Surveys are widely used in public sector research because they allow the collection of data from larger groups of respondents and support generalization of findings (Babbie, 2020; Vigoda-Gadot &amp; Vashdi, 2020). The qualitative component involved Key Informant Interviews with five individuals involved in planning, implementing, or evaluating learning interventions within the PRC, such as training officers, HR personnel, and supervisors. The interviews explored perceptions of the effectiveness, challenges, and outcomes of training programs in relation to Kirkpatrick’s Four-Level Training Evaluation Model. Qualitative data were analyzed using thematic analysis to complement and contextualize the statistical findings (Creswell &amp; Plano Clark, 2018). Ethical standards were observed throughout the research process. Respondents and key informants were informed about the study’s purpose and procedures and provided voluntary consent before participation. Confidentiality and anonymity were maintained, and all data were used solely for academic purposes (Kaiser, 2009; Killawi et al., 2014).</w:t>
      </w:r>
    </w:p>
    <w:p w14:paraId="06EC1E0A" w14:textId="77777777" w:rsidR="00B86828" w:rsidRPr="00B86828" w:rsidRDefault="00B86828" w:rsidP="00B86828">
      <w:pPr>
        <w:spacing w:after="0"/>
        <w:rPr>
          <w:rFonts w:ascii="Times New Roman" w:hAnsi="Times New Roman" w:cs="Times New Roman"/>
          <w:b/>
          <w:bCs/>
          <w:lang w:val="en-GB"/>
        </w:rPr>
      </w:pPr>
    </w:p>
    <w:p w14:paraId="2B491D4E" w14:textId="77777777" w:rsidR="00B86828" w:rsidRPr="00B86828" w:rsidRDefault="00B86828" w:rsidP="00B86828">
      <w:pPr>
        <w:spacing w:after="0"/>
        <w:rPr>
          <w:rFonts w:ascii="Times New Roman" w:hAnsi="Times New Roman" w:cs="Times New Roman"/>
          <w:b/>
          <w:bCs/>
          <w:lang w:val="en-GB"/>
        </w:rPr>
      </w:pPr>
      <w:r w:rsidRPr="00B86828">
        <w:rPr>
          <w:rFonts w:ascii="Times New Roman" w:hAnsi="Times New Roman" w:cs="Times New Roman"/>
          <w:b/>
          <w:bCs/>
          <w:lang w:val="en-GB"/>
        </w:rPr>
        <w:t>2.2 Locale of the Study</w:t>
      </w:r>
    </w:p>
    <w:p w14:paraId="24CB2F39" w14:textId="7B60F909" w:rsidR="00B86828" w:rsidRPr="00B86828" w:rsidRDefault="00B86828" w:rsidP="00B86828">
      <w:pPr>
        <w:spacing w:after="0"/>
        <w:rPr>
          <w:rFonts w:ascii="Times New Roman" w:hAnsi="Times New Roman" w:cs="Times New Roman"/>
          <w:lang w:val="en-GB"/>
        </w:rPr>
      </w:pPr>
      <w:r w:rsidRPr="00B86828">
        <w:rPr>
          <w:rFonts w:ascii="Times New Roman" w:hAnsi="Times New Roman" w:cs="Times New Roman"/>
          <w:lang w:val="en-GB"/>
        </w:rPr>
        <w:t>The study was conducted at the Professional Regulation Commission (PRC) Central Office located in Manila, Philippines. The PRC is the national government agency responsible for regulating and supervising the practice of professions in the country. The central office houses various divisions and functional units responsible for professional regulation, licensure, administrative support, and policy implementation. The research focused on personnel working in different departments and service divisions of the PRC Central Office who had participated in formal learning and development interventions organized or endorsed by the agency between 2022 and 2024. Conducting the study within this locale allowed the researchers to examine how learning interventions influence employee performance within the operational context of a national regulatory agency.</w:t>
      </w:r>
    </w:p>
    <w:p w14:paraId="21DF66B0" w14:textId="77777777" w:rsidR="00B86828" w:rsidRPr="00B86828" w:rsidRDefault="00B86828" w:rsidP="00B86828">
      <w:pPr>
        <w:spacing w:after="0"/>
        <w:rPr>
          <w:rFonts w:ascii="Times New Roman" w:hAnsi="Times New Roman" w:cs="Times New Roman"/>
          <w:lang w:val="en-GB"/>
        </w:rPr>
      </w:pPr>
    </w:p>
    <w:p w14:paraId="127344A2" w14:textId="77777777" w:rsidR="00B86828" w:rsidRPr="00B86828" w:rsidRDefault="00B86828" w:rsidP="00B86828">
      <w:pPr>
        <w:spacing w:after="0"/>
        <w:rPr>
          <w:rFonts w:ascii="Times New Roman" w:hAnsi="Times New Roman" w:cs="Times New Roman"/>
          <w:b/>
          <w:bCs/>
          <w:lang w:val="en-GB"/>
        </w:rPr>
      </w:pPr>
      <w:r w:rsidRPr="00B86828">
        <w:rPr>
          <w:rFonts w:ascii="Times New Roman" w:hAnsi="Times New Roman" w:cs="Times New Roman"/>
          <w:b/>
          <w:bCs/>
          <w:lang w:val="en-GB"/>
        </w:rPr>
        <w:t>2.3 Respondents of the Study</w:t>
      </w:r>
    </w:p>
    <w:p w14:paraId="0052838A" w14:textId="4FFC58D6" w:rsidR="00B86828" w:rsidRPr="00B86828" w:rsidRDefault="00B86828" w:rsidP="00B86828">
      <w:pPr>
        <w:spacing w:after="0"/>
        <w:rPr>
          <w:rFonts w:ascii="Times New Roman" w:hAnsi="Times New Roman" w:cs="Times New Roman"/>
          <w:lang w:val="en-GB"/>
        </w:rPr>
      </w:pPr>
      <w:r w:rsidRPr="00B86828">
        <w:rPr>
          <w:rFonts w:ascii="Times New Roman" w:hAnsi="Times New Roman" w:cs="Times New Roman"/>
          <w:lang w:val="en-GB"/>
        </w:rPr>
        <w:t>The respondents of the study consisted of selected personnel from the PRC Central Office who had participated in at least one formal learning and development intervention between 2022 and 2024. These respondents included both rank-and-file employees and supervisory personnel from various divisions and departments within the organization. The participants represented employees with diverse roles, professional backgrounds, and lengths of service within the institution. Their experiences with training programs provided relevant information regarding the types of learning interventions attended, the frequency of participation, and their perceived performance in terms of work quality, efficiency, teamwork, and adaptability. Participation in the study was voluntary, and respondents were assured that their responses would remain confidential and anonymous.</w:t>
      </w:r>
    </w:p>
    <w:p w14:paraId="788CFC0D" w14:textId="77777777" w:rsidR="00B86828" w:rsidRPr="00B86828" w:rsidRDefault="00B86828" w:rsidP="00B86828">
      <w:pPr>
        <w:spacing w:after="0"/>
        <w:rPr>
          <w:rFonts w:ascii="Times New Roman" w:hAnsi="Times New Roman" w:cs="Times New Roman"/>
          <w:lang w:val="en-GB"/>
        </w:rPr>
      </w:pPr>
    </w:p>
    <w:p w14:paraId="53AE8465" w14:textId="77777777" w:rsidR="00B86828" w:rsidRPr="00B86828" w:rsidRDefault="00B86828" w:rsidP="00B86828">
      <w:pPr>
        <w:spacing w:after="0"/>
        <w:rPr>
          <w:rFonts w:ascii="Times New Roman" w:hAnsi="Times New Roman" w:cs="Times New Roman"/>
          <w:b/>
          <w:bCs/>
          <w:lang w:val="en-GB"/>
        </w:rPr>
      </w:pPr>
      <w:r w:rsidRPr="00B86828">
        <w:rPr>
          <w:rFonts w:ascii="Times New Roman" w:hAnsi="Times New Roman" w:cs="Times New Roman"/>
          <w:b/>
          <w:bCs/>
          <w:lang w:val="en-GB"/>
        </w:rPr>
        <w:t>2.4 Sample and Sampling Procedure</w:t>
      </w:r>
    </w:p>
    <w:p w14:paraId="5B84C7F3" w14:textId="777D7190" w:rsidR="00B86828" w:rsidRPr="00B86828" w:rsidRDefault="00B86828" w:rsidP="00B86828">
      <w:pPr>
        <w:spacing w:after="0"/>
        <w:rPr>
          <w:rFonts w:ascii="Times New Roman" w:hAnsi="Times New Roman" w:cs="Times New Roman"/>
          <w:lang w:val="en-GB"/>
        </w:rPr>
      </w:pPr>
      <w:r w:rsidRPr="00B86828">
        <w:rPr>
          <w:rFonts w:ascii="Times New Roman" w:hAnsi="Times New Roman" w:cs="Times New Roman"/>
          <w:lang w:val="en-GB"/>
        </w:rPr>
        <w:t>The target population consisted of employees from the PRC Central Office who had participated in at least one learning and development intervention from 2022 to 2024. The population included both rank-and-file employees and supervisory personnel from different organizational units. To determine the sample size, the researchers applied Slovin’s formula using a confidence level of 95 percent and a margin of error of ±5 percent. Based on the total population of 269 eligible employees, a target sample of 161 respondents was computed for the study. Purposive sampling, a non-probability sampling technique, was used to select participants who met the inclusion criteria. Only employees who had attended at least one formal learning intervention during the specified period were included in the study. Purposive sampling is appropriate when researchers select participants who possess relevant experience or knowledge related to the research variables (Palinkas et al., 2015). This approach allowed the researchers to focus on individuals whose experiences directly relate to the evaluation of learning interventions and employee performance. The selected sample included employees with varying positions, departments, and years of service to capture diverse perspectives regarding the relationship between training participation and job performance within the PRC Central Office.</w:t>
      </w:r>
    </w:p>
    <w:p w14:paraId="0FF7AE4A" w14:textId="6C6041B5" w:rsidR="00B86828" w:rsidRDefault="00B86828" w:rsidP="00B86828">
      <w:pPr>
        <w:spacing w:after="0"/>
        <w:rPr>
          <w:rFonts w:ascii="Times New Roman" w:hAnsi="Times New Roman" w:cs="Times New Roman"/>
          <w:b/>
          <w:bCs/>
          <w:lang w:val="en-GB"/>
        </w:rPr>
      </w:pPr>
    </w:p>
    <w:p w14:paraId="43C5BE62" w14:textId="1425894D" w:rsidR="00022C1A" w:rsidRDefault="00022C1A" w:rsidP="00B86828">
      <w:pPr>
        <w:spacing w:after="0"/>
        <w:rPr>
          <w:rFonts w:ascii="Times New Roman" w:hAnsi="Times New Roman" w:cs="Times New Roman"/>
          <w:b/>
          <w:bCs/>
          <w:lang w:val="en-GB"/>
        </w:rPr>
      </w:pPr>
    </w:p>
    <w:p w14:paraId="7F10FE53" w14:textId="77777777" w:rsidR="00022C1A" w:rsidRPr="00B86828" w:rsidRDefault="00022C1A" w:rsidP="00B86828">
      <w:pPr>
        <w:spacing w:after="0"/>
        <w:rPr>
          <w:rFonts w:ascii="Times New Roman" w:hAnsi="Times New Roman" w:cs="Times New Roman"/>
          <w:b/>
          <w:bCs/>
          <w:lang w:val="en-GB"/>
        </w:rPr>
      </w:pPr>
    </w:p>
    <w:p w14:paraId="2BE60DC6" w14:textId="77777777" w:rsidR="00B86828" w:rsidRPr="00B86828" w:rsidRDefault="00B86828" w:rsidP="00B86828">
      <w:pPr>
        <w:spacing w:after="0"/>
        <w:rPr>
          <w:rFonts w:ascii="Times New Roman" w:hAnsi="Times New Roman" w:cs="Times New Roman"/>
          <w:b/>
          <w:bCs/>
          <w:lang w:val="en-GB"/>
        </w:rPr>
      </w:pPr>
      <w:r w:rsidRPr="00B86828">
        <w:rPr>
          <w:rFonts w:ascii="Times New Roman" w:hAnsi="Times New Roman" w:cs="Times New Roman"/>
          <w:b/>
          <w:bCs/>
          <w:lang w:val="en-GB"/>
        </w:rPr>
        <w:t>2.5 Research Instrument</w:t>
      </w:r>
    </w:p>
    <w:p w14:paraId="0C1AB009" w14:textId="2A82E1B9" w:rsidR="00B86828" w:rsidRPr="00B86828" w:rsidRDefault="00B86828" w:rsidP="00B86828">
      <w:pPr>
        <w:spacing w:after="0"/>
        <w:rPr>
          <w:rFonts w:ascii="Times New Roman" w:hAnsi="Times New Roman" w:cs="Times New Roman"/>
          <w:lang w:val="en-GB"/>
        </w:rPr>
      </w:pPr>
      <w:r w:rsidRPr="00B86828">
        <w:rPr>
          <w:rFonts w:ascii="Times New Roman" w:hAnsi="Times New Roman" w:cs="Times New Roman"/>
          <w:lang w:val="en-GB"/>
        </w:rPr>
        <w:t>The primary data collection tool used in the study was a structured survey questionnaire developed by the researchers. The questionnaire was designed to collect quantitative data addressing the specific objectives of the study. It was written in English to facilitate content validation by subject-matter experts and ensure clarity of the instrument’s objectives and constructs. The instrument was distributed using Google Forms, which allowed efficient collection of responses from participants. A total of 171 respondents completed the survey. In addition, qualitative data were collected through face-to-face interviews with five key informants using a semi-structured interview guide. The mixed-method approach strengthened the study by integrating quantitative survey results with qualitative insights. The questionnaire consisted of four major sections. The first section collected demographic information including age, sex, position or designation, years of service in the PRC Central Office, department or division, number of learning and development interventions attended, and mode of training. These variables provided contextual information for analyzing respondent characteristics. The second section assessed respondents’ perceptions of the agency’s learning interventions based on four domains: reaction, learning, behavior, and results. Each domain included statements rated using a four-point Likert scale to measure the perceived effectiveness of training programs. The third section evaluated employee performance across four dimensions: work quality, work efficiency, teamwork and collaboration, and adaptability and problem-solving. These dimensions were theoretically grounded in Kirkpatrick’s Four-Level Training Evaluation Model, particularly the behavior and results levels, which demonstrate how acquired learning translates into workplace performance (Kirkpatrick &amp; Kirkpatrick, 2006). The indicators were also supported by Human Capital Theory, which explains that acquired knowledge and skills enhance employee productivity and efficiency (Becker 1993), and by New Public Management Theory, which emphasizes efficiency, teamwork, adaptability, and service quality as core performance expectations in public sector institutions (Hood 1991). Respondents rated statements describing work behaviors and competencies using a four-point Likert scale. The final section gathered respondents’ recommendations regarding potential learning intervention strategies. Participants rated proposed training programs and were given the opportunity to suggest additional strategies or provide comments regarding the content, delivery, and relevance of training initiatives. Before full implementation, the instrument underwent pilot testing with 30 PRC employees who were not part of the final sample. The pilot test evaluated the clarity, relevance, and comprehensibility of survey items. Internal consistency reliability was assessed using Cronbach’s Alpha, which indicated acceptable to excellent reliability across all major variables. Based on the pilot testing results, the questionnaire was refined before being used for actual data collection.</w:t>
      </w:r>
    </w:p>
    <w:p w14:paraId="76E009B4" w14:textId="77777777" w:rsidR="00B86828" w:rsidRPr="00B86828" w:rsidRDefault="00B86828" w:rsidP="00B86828">
      <w:pPr>
        <w:spacing w:after="0"/>
        <w:rPr>
          <w:rFonts w:ascii="Times New Roman" w:hAnsi="Times New Roman" w:cs="Times New Roman"/>
          <w:b/>
          <w:bCs/>
          <w:lang w:val="en-GB"/>
        </w:rPr>
      </w:pPr>
    </w:p>
    <w:p w14:paraId="0BE146B0" w14:textId="77777777" w:rsidR="00B86828" w:rsidRPr="00B86828" w:rsidRDefault="00B86828" w:rsidP="00B86828">
      <w:pPr>
        <w:spacing w:after="0"/>
        <w:rPr>
          <w:rFonts w:ascii="Times New Roman" w:hAnsi="Times New Roman" w:cs="Times New Roman"/>
          <w:b/>
          <w:bCs/>
          <w:lang w:val="en-GB"/>
        </w:rPr>
      </w:pPr>
      <w:r w:rsidRPr="00B86828">
        <w:rPr>
          <w:rFonts w:ascii="Times New Roman" w:hAnsi="Times New Roman" w:cs="Times New Roman"/>
          <w:b/>
          <w:bCs/>
          <w:lang w:val="en-GB"/>
        </w:rPr>
        <w:t>2.6 Data Gathering Procedure</w:t>
      </w:r>
    </w:p>
    <w:p w14:paraId="3A9D5D7A" w14:textId="37381D46" w:rsidR="00B86828" w:rsidRPr="00B86828" w:rsidRDefault="00B86828" w:rsidP="00B86828">
      <w:pPr>
        <w:spacing w:after="0"/>
        <w:rPr>
          <w:rFonts w:ascii="Times New Roman" w:hAnsi="Times New Roman" w:cs="Times New Roman"/>
          <w:lang w:val="en-GB"/>
        </w:rPr>
      </w:pPr>
      <w:r w:rsidRPr="00B86828">
        <w:rPr>
          <w:rFonts w:ascii="Times New Roman" w:hAnsi="Times New Roman" w:cs="Times New Roman"/>
          <w:lang w:val="en-GB"/>
        </w:rPr>
        <w:t>Data collection followed a systematic process. First, the researchers obtained approval from the appropriate academic research committee or ethics review board. After approval, a formal endorsement letter was sent to the PRC Central Office requesting permission to conduct the study and distribute the survey questionnaire to personnel. Upon receiving authorization, the researchers coordinated with the PRC Human Resource Development office or designated focal personnel to identify employees who met the study’s inclusion criteria. Eligible respondents were those who had participated in at least one learning intervention between 2022 and 2024. The survey instrument was validated by experts in public administration and human resource management to ensure content accuracy and clarity. Following validation, the instrument underwent pilot testing with selected PRC employees who were not included in the final sample. Feedback from pilot respondents was used to improve the wording, structure, and clarity of the questionnaire. After finalizing the instrument, the survey was distributed to the target respondents through online platforms using Google Forms. Participants were informed about the purpose of the study, the estimated time required to complete the questionnaire, and ethical considerations such as voluntary participation and confidentiality. Respondents were given approximately two to three weeks to complete the survey, and reminders were sent to encourage participation. Completed questionnaires were collected and reviewed to ensure completeness. Responses with significant inconsistencies or incomplete data were excluded from the analysis. The valid responses were encoded into statistical software for analysis. In addition to the survey, qualitative data were gathered through semi-structured interviews with selected key informants. The interviews explored participants’ experiences and perceptions regarding learning and development interventions. The responses were recorded, transcribed, and analyzed using thematic analysis based on the six-phase framework proposed by Braun and Clarke (2006). This approach allowed the researchers to identify patterns and themes that complemented the quantitative findings.</w:t>
      </w:r>
    </w:p>
    <w:p w14:paraId="4217E29E" w14:textId="77777777" w:rsidR="00B86828" w:rsidRPr="00B86828" w:rsidRDefault="00B86828" w:rsidP="00B86828">
      <w:pPr>
        <w:spacing w:after="0"/>
        <w:rPr>
          <w:rFonts w:ascii="Times New Roman" w:hAnsi="Times New Roman" w:cs="Times New Roman"/>
          <w:b/>
          <w:bCs/>
          <w:lang w:val="en-GB"/>
        </w:rPr>
      </w:pPr>
    </w:p>
    <w:p w14:paraId="295DA450" w14:textId="77777777" w:rsidR="00B86828" w:rsidRPr="00B86828" w:rsidRDefault="00B86828" w:rsidP="00B86828">
      <w:pPr>
        <w:spacing w:after="0"/>
        <w:rPr>
          <w:rFonts w:ascii="Times New Roman" w:hAnsi="Times New Roman" w:cs="Times New Roman"/>
          <w:b/>
          <w:bCs/>
          <w:lang w:val="en-GB"/>
        </w:rPr>
      </w:pPr>
      <w:r w:rsidRPr="00B86828">
        <w:rPr>
          <w:rFonts w:ascii="Times New Roman" w:hAnsi="Times New Roman" w:cs="Times New Roman"/>
          <w:b/>
          <w:bCs/>
          <w:lang w:val="en-GB"/>
        </w:rPr>
        <w:t>2.7 Data Analysis Techniques</w:t>
      </w:r>
    </w:p>
    <w:p w14:paraId="47918EBA" w14:textId="15891C93" w:rsidR="00B86828" w:rsidRPr="00B86828" w:rsidRDefault="00B86828" w:rsidP="00B86828">
      <w:pPr>
        <w:spacing w:after="0"/>
        <w:rPr>
          <w:rFonts w:ascii="Times New Roman" w:hAnsi="Times New Roman" w:cs="Times New Roman"/>
          <w:lang w:val="en-GB"/>
        </w:rPr>
      </w:pPr>
      <w:r w:rsidRPr="00B86828">
        <w:rPr>
          <w:rFonts w:ascii="Times New Roman" w:hAnsi="Times New Roman" w:cs="Times New Roman"/>
          <w:lang w:val="en-GB"/>
        </w:rPr>
        <w:t>The collected data were encoded and analyzed using both descriptive and inferential statistical techniques to address the research questions and hypotheses. Frequency and percentage were used to describe the demographic characteristics of respondents and the distribution of learning interventions attended. Weighted mean was used to determine the average frequency of participation in learning and development interventions and the average level of employee performance across the identified indicators. Responses measured through the Likert scale were interpreted using descriptive categories to reflect the level of agreement or frequency. Pearson correlation analysis was applied to determine whether a significant relationship existed between learning interventions and employee performance. This statistical method measures the strength and direction of the association between two continuous variables (Field, 2018). The level of significance for hypothesis testing was set at 0.05. Qualitative data obtained from interviews were analyzed using thematic analysis following Braun and Clarke’s (2006) six-phase procedure, which includes familiarization with the data, generating initial codes, identifying themes, reviewing themes, defining and naming themes, and producing the final report. The thematic analysis provided insights that supported and contextualized the quantitative results. All statistical analyses were conducted using Microsoft Excel and IBM SPSS Statistics to ensure accuracy and reliability in data processing and interpretation.</w:t>
      </w:r>
    </w:p>
    <w:p w14:paraId="1E1A59B5" w14:textId="77777777" w:rsidR="00B86828" w:rsidRDefault="00B86828" w:rsidP="0002171C">
      <w:pPr>
        <w:spacing w:after="0"/>
        <w:rPr>
          <w:rFonts w:ascii="Times New Roman" w:hAnsi="Times New Roman" w:cs="Times New Roman"/>
          <w:b/>
          <w:bCs/>
          <w:lang w:val="en-GB"/>
        </w:rPr>
      </w:pPr>
    </w:p>
    <w:p w14:paraId="6CC73A39" w14:textId="4F79A3D1" w:rsidR="007F68FC" w:rsidRPr="007F68FC" w:rsidRDefault="008A59B2" w:rsidP="007F68FC">
      <w:pPr>
        <w:pStyle w:val="Heading1"/>
      </w:pPr>
      <w:r w:rsidRPr="009B379E">
        <w:t>Results</w:t>
      </w:r>
      <w:r w:rsidR="00D216E8" w:rsidRPr="009B379E">
        <w:t xml:space="preserve"> and </w:t>
      </w:r>
      <w:r w:rsidR="00FC4F29">
        <w:t>D</w:t>
      </w:r>
      <w:r w:rsidR="00D216E8" w:rsidRPr="009B379E">
        <w:t>iscussion</w:t>
      </w:r>
      <w:r w:rsidR="000F4111" w:rsidRPr="009B379E">
        <w:t xml:space="preserve"> </w:t>
      </w:r>
    </w:p>
    <w:p w14:paraId="4A9032C6" w14:textId="77777777" w:rsidR="007F68FC" w:rsidRPr="007F68FC" w:rsidRDefault="007F68FC" w:rsidP="007F68FC">
      <w:pPr>
        <w:spacing w:after="5"/>
        <w:ind w:left="-5" w:hanging="10"/>
        <w:rPr>
          <w:rFonts w:ascii="Times New Roman" w:eastAsia="Times New Roman" w:hAnsi="Times New Roman" w:cs="Times New Roman"/>
          <w:b/>
          <w:bCs/>
          <w:color w:val="000000"/>
          <w:kern w:val="2"/>
          <w:szCs w:val="24"/>
          <w14:ligatures w14:val="standardContextual"/>
        </w:rPr>
      </w:pPr>
      <w:r w:rsidRPr="007F68FC">
        <w:rPr>
          <w:rFonts w:ascii="Times New Roman" w:eastAsia="Times New Roman" w:hAnsi="Times New Roman" w:cs="Times New Roman"/>
          <w:b/>
          <w:bCs/>
          <w:color w:val="000000"/>
          <w:kern w:val="2"/>
          <w:szCs w:val="24"/>
          <w14:ligatures w14:val="standardContextual"/>
        </w:rPr>
        <w:t>3.1 Respondent Profile and Exposure to PRC Learning Interventions</w:t>
      </w:r>
    </w:p>
    <w:p w14:paraId="18F8BD2F" w14:textId="77777777" w:rsidR="007F68FC" w:rsidRPr="007F68FC" w:rsidRDefault="007F68FC" w:rsidP="007F68FC">
      <w:pPr>
        <w:spacing w:after="5"/>
        <w:ind w:left="-5" w:firstLine="725"/>
        <w:rPr>
          <w:rFonts w:ascii="Times New Roman" w:eastAsia="Times New Roman" w:hAnsi="Times New Roman" w:cs="Times New Roman"/>
          <w:b/>
          <w:bCs/>
          <w:color w:val="000000"/>
          <w:kern w:val="2"/>
          <w:szCs w:val="24"/>
          <w14:ligatures w14:val="standardContextual"/>
        </w:rPr>
      </w:pPr>
      <w:r w:rsidRPr="007F68FC">
        <w:rPr>
          <w:rFonts w:ascii="Times New Roman" w:eastAsia="Times New Roman" w:hAnsi="Times New Roman" w:cs="Times New Roman"/>
          <w:b/>
          <w:bCs/>
          <w:color w:val="000000"/>
          <w:kern w:val="2"/>
          <w:szCs w:val="24"/>
          <w14:ligatures w14:val="standardContextual"/>
        </w:rPr>
        <w:t>3.1.1 Age Distribution of Respondents</w:t>
      </w:r>
    </w:p>
    <w:p w14:paraId="07AAA895" w14:textId="5A5E6024" w:rsidR="007F68FC" w:rsidRPr="007F68FC" w:rsidRDefault="007F68FC" w:rsidP="007F68FC">
      <w:pPr>
        <w:spacing w:after="5"/>
        <w:rPr>
          <w:rFonts w:ascii="Times New Roman" w:eastAsia="Times New Roman" w:hAnsi="Times New Roman" w:cs="Times New Roman"/>
          <w:color w:val="000000"/>
          <w:kern w:val="2"/>
          <w:szCs w:val="24"/>
          <w14:ligatures w14:val="standardContextual"/>
        </w:rPr>
      </w:pPr>
      <w:r w:rsidRPr="007F68FC">
        <w:rPr>
          <w:rFonts w:ascii="Times New Roman" w:eastAsia="Times New Roman" w:hAnsi="Times New Roman" w:cs="Times New Roman"/>
          <w:color w:val="000000"/>
          <w:kern w:val="2"/>
          <w:szCs w:val="24"/>
          <w14:ligatures w14:val="standardContextual"/>
        </w:rPr>
        <w:t>Most respondents belonged to the 36–40 age group (26.3%), followed by employees aged 41–45 (18.1%) and 31–35 (17.5%). Smaller proportions were distributed among younger and older age groups, with very few respondents aged above 60.</w:t>
      </w:r>
      <w:r>
        <w:rPr>
          <w:rFonts w:ascii="Times New Roman" w:eastAsia="Times New Roman" w:hAnsi="Times New Roman" w:cs="Times New Roman"/>
          <w:color w:val="000000"/>
          <w:kern w:val="2"/>
          <w:szCs w:val="24"/>
          <w14:ligatures w14:val="standardContextual"/>
        </w:rPr>
        <w:t xml:space="preserve"> </w:t>
      </w:r>
      <w:r w:rsidRPr="007F68FC">
        <w:rPr>
          <w:rFonts w:ascii="Times New Roman" w:eastAsia="Times New Roman" w:hAnsi="Times New Roman" w:cs="Times New Roman"/>
          <w:color w:val="000000"/>
          <w:kern w:val="2"/>
          <w:szCs w:val="24"/>
          <w14:ligatures w14:val="standardContextual"/>
        </w:rPr>
        <w:t>This distribution indicates that the majority of participants are in the middle stage of their professional careers, a period often associated with increasing responsibilities, leadership preparation, and continuous skills development. Employees in this stage are typically more receptive to training initiatives because they seek to enhance competencies and advance professionally (Armstrong &amp; Taylor, 2020). The presence of diverse age groups also suggests the importance of flexible learning approaches that accommodate varying experience levels and learning needs.</w:t>
      </w:r>
    </w:p>
    <w:p w14:paraId="391222A3" w14:textId="77777777" w:rsidR="007F68FC" w:rsidRPr="007F68FC" w:rsidRDefault="007F68FC" w:rsidP="007F68FC">
      <w:pPr>
        <w:spacing w:after="5"/>
        <w:ind w:left="-5" w:hanging="10"/>
        <w:rPr>
          <w:rFonts w:ascii="Times New Roman" w:eastAsia="Times New Roman" w:hAnsi="Times New Roman" w:cs="Times New Roman"/>
          <w:color w:val="000000"/>
          <w:kern w:val="2"/>
          <w:szCs w:val="24"/>
          <w14:ligatures w14:val="standardContextual"/>
        </w:rPr>
      </w:pPr>
    </w:p>
    <w:p w14:paraId="07C79E23" w14:textId="77777777" w:rsidR="007F68FC" w:rsidRPr="007F68FC" w:rsidRDefault="007F68FC" w:rsidP="007F68FC">
      <w:pPr>
        <w:spacing w:after="5"/>
        <w:ind w:left="-5" w:firstLine="725"/>
        <w:rPr>
          <w:rFonts w:ascii="Times New Roman" w:eastAsia="Times New Roman" w:hAnsi="Times New Roman" w:cs="Times New Roman"/>
          <w:b/>
          <w:bCs/>
          <w:color w:val="000000"/>
          <w:kern w:val="2"/>
          <w:szCs w:val="24"/>
          <w14:ligatures w14:val="standardContextual"/>
        </w:rPr>
      </w:pPr>
      <w:r w:rsidRPr="007F68FC">
        <w:rPr>
          <w:rFonts w:ascii="Times New Roman" w:eastAsia="Times New Roman" w:hAnsi="Times New Roman" w:cs="Times New Roman"/>
          <w:b/>
          <w:bCs/>
          <w:color w:val="000000"/>
          <w:kern w:val="2"/>
          <w:szCs w:val="24"/>
          <w14:ligatures w14:val="standardContextual"/>
        </w:rPr>
        <w:t>3.1.2 Sex Distribution of Respondents</w:t>
      </w:r>
    </w:p>
    <w:p w14:paraId="425A9DD0" w14:textId="67684A41" w:rsidR="007F68FC" w:rsidRPr="007F68FC" w:rsidRDefault="007F68FC" w:rsidP="007F68FC">
      <w:pPr>
        <w:spacing w:after="5"/>
        <w:rPr>
          <w:rFonts w:ascii="Times New Roman" w:eastAsia="Times New Roman" w:hAnsi="Times New Roman" w:cs="Times New Roman"/>
          <w:color w:val="000000"/>
          <w:kern w:val="2"/>
          <w:szCs w:val="24"/>
          <w14:ligatures w14:val="standardContextual"/>
        </w:rPr>
      </w:pPr>
      <w:r w:rsidRPr="007F68FC">
        <w:rPr>
          <w:rFonts w:ascii="Times New Roman" w:eastAsia="Times New Roman" w:hAnsi="Times New Roman" w:cs="Times New Roman"/>
          <w:color w:val="000000"/>
          <w:kern w:val="2"/>
          <w:szCs w:val="24"/>
          <w14:ligatures w14:val="standardContextual"/>
        </w:rPr>
        <w:t>Female employees constituted the majority of the respondents (64.9%), while males represented 34.5%, with only one respondent not specifying gender.</w:t>
      </w:r>
      <w:r>
        <w:rPr>
          <w:rFonts w:ascii="Times New Roman" w:eastAsia="Times New Roman" w:hAnsi="Times New Roman" w:cs="Times New Roman"/>
          <w:color w:val="000000"/>
          <w:kern w:val="2"/>
          <w:szCs w:val="24"/>
          <w14:ligatures w14:val="standardContextual"/>
        </w:rPr>
        <w:t xml:space="preserve"> </w:t>
      </w:r>
      <w:r w:rsidRPr="007F68FC">
        <w:rPr>
          <w:rFonts w:ascii="Times New Roman" w:eastAsia="Times New Roman" w:hAnsi="Times New Roman" w:cs="Times New Roman"/>
          <w:color w:val="000000"/>
          <w:kern w:val="2"/>
          <w:szCs w:val="24"/>
          <w14:ligatures w14:val="standardContextual"/>
        </w:rPr>
        <w:t>This pattern reflects the broader workforce composition within many Philippine public sector institutions, where women are widely represented in administrative and regulatory roles. Workforce diversity, particularly gender diversity, has been associated with improved collaboration and inclusive participation in organizational learning initiatives (United Nations Development Programme, 2018). Differences in learning engagement and training utilization across genders may also influence how training outcomes translate into performance improvements.</w:t>
      </w:r>
    </w:p>
    <w:p w14:paraId="2965057D" w14:textId="77777777" w:rsidR="007F68FC" w:rsidRPr="007F68FC" w:rsidRDefault="007F68FC" w:rsidP="007F68FC">
      <w:pPr>
        <w:spacing w:after="5"/>
        <w:ind w:left="-5" w:hanging="10"/>
        <w:rPr>
          <w:rFonts w:ascii="Times New Roman" w:eastAsia="Times New Roman" w:hAnsi="Times New Roman" w:cs="Times New Roman"/>
          <w:color w:val="000000"/>
          <w:kern w:val="2"/>
          <w:szCs w:val="24"/>
          <w14:ligatures w14:val="standardContextual"/>
        </w:rPr>
      </w:pPr>
    </w:p>
    <w:p w14:paraId="2390467B" w14:textId="77777777" w:rsidR="007F68FC" w:rsidRPr="007F68FC" w:rsidRDefault="007F68FC" w:rsidP="007F68FC">
      <w:pPr>
        <w:spacing w:after="5"/>
        <w:ind w:left="-5" w:firstLine="725"/>
        <w:rPr>
          <w:rFonts w:ascii="Times New Roman" w:eastAsia="Times New Roman" w:hAnsi="Times New Roman" w:cs="Times New Roman"/>
          <w:b/>
          <w:bCs/>
          <w:color w:val="000000"/>
          <w:kern w:val="2"/>
          <w:szCs w:val="24"/>
          <w14:ligatures w14:val="standardContextual"/>
        </w:rPr>
      </w:pPr>
      <w:r w:rsidRPr="007F68FC">
        <w:rPr>
          <w:rFonts w:ascii="Times New Roman" w:eastAsia="Times New Roman" w:hAnsi="Times New Roman" w:cs="Times New Roman"/>
          <w:b/>
          <w:bCs/>
          <w:color w:val="000000"/>
          <w:kern w:val="2"/>
          <w:szCs w:val="24"/>
          <w14:ligatures w14:val="standardContextual"/>
        </w:rPr>
        <w:t>3.1.3 Organizational Position of Respondents</w:t>
      </w:r>
    </w:p>
    <w:p w14:paraId="2FF9B45E" w14:textId="3817E590" w:rsidR="007F68FC" w:rsidRPr="007F68FC" w:rsidRDefault="007F68FC" w:rsidP="007F68FC">
      <w:pPr>
        <w:spacing w:after="5"/>
        <w:rPr>
          <w:rFonts w:ascii="Times New Roman" w:eastAsia="Times New Roman" w:hAnsi="Times New Roman" w:cs="Times New Roman"/>
          <w:color w:val="000000"/>
          <w:kern w:val="2"/>
          <w:szCs w:val="24"/>
          <w14:ligatures w14:val="standardContextual"/>
        </w:rPr>
      </w:pPr>
      <w:r w:rsidRPr="007F68FC">
        <w:rPr>
          <w:rFonts w:ascii="Times New Roman" w:eastAsia="Times New Roman" w:hAnsi="Times New Roman" w:cs="Times New Roman"/>
          <w:color w:val="000000"/>
          <w:kern w:val="2"/>
          <w:szCs w:val="24"/>
          <w14:ligatures w14:val="standardContextual"/>
        </w:rPr>
        <w:t>More than half of the respondents were rank-and-file employees (52.6%), while 47.4% held supervisory or managerial roles.</w:t>
      </w:r>
      <w:r>
        <w:rPr>
          <w:rFonts w:ascii="Times New Roman" w:eastAsia="Times New Roman" w:hAnsi="Times New Roman" w:cs="Times New Roman"/>
          <w:color w:val="000000"/>
          <w:kern w:val="2"/>
          <w:szCs w:val="24"/>
          <w14:ligatures w14:val="standardContextual"/>
        </w:rPr>
        <w:t xml:space="preserve"> </w:t>
      </w:r>
      <w:r w:rsidRPr="007F68FC">
        <w:rPr>
          <w:rFonts w:ascii="Times New Roman" w:eastAsia="Times New Roman" w:hAnsi="Times New Roman" w:cs="Times New Roman"/>
          <w:color w:val="000000"/>
          <w:kern w:val="2"/>
          <w:szCs w:val="24"/>
          <w14:ligatures w14:val="standardContextual"/>
        </w:rPr>
        <w:t>The nearly balanced representation between operational staff and supervisors allows the study to capture perspectives across hierarchical levels. Training needs differ depending on role responsibilities; frontline employees focus on task execution and service delivery, whereas supervisors emphasize coordination, leadership, and performance monitoring (Noe, 2020). Including both groups enhances the validity of the evaluation of learning interventions and their organizational impact.</w:t>
      </w:r>
    </w:p>
    <w:p w14:paraId="198937D1" w14:textId="77777777" w:rsidR="007F68FC" w:rsidRPr="007F68FC" w:rsidRDefault="007F68FC" w:rsidP="007F68FC">
      <w:pPr>
        <w:spacing w:after="5"/>
        <w:ind w:left="-5" w:hanging="10"/>
        <w:rPr>
          <w:rFonts w:ascii="Times New Roman" w:eastAsia="Times New Roman" w:hAnsi="Times New Roman" w:cs="Times New Roman"/>
          <w:color w:val="000000"/>
          <w:kern w:val="2"/>
          <w:szCs w:val="24"/>
          <w14:ligatures w14:val="standardContextual"/>
        </w:rPr>
      </w:pPr>
    </w:p>
    <w:p w14:paraId="402F1335" w14:textId="77777777" w:rsidR="007F68FC" w:rsidRPr="007F68FC" w:rsidRDefault="007F68FC" w:rsidP="007F68FC">
      <w:pPr>
        <w:spacing w:after="5"/>
        <w:ind w:left="-5" w:firstLine="725"/>
        <w:rPr>
          <w:rFonts w:ascii="Times New Roman" w:eastAsia="Times New Roman" w:hAnsi="Times New Roman" w:cs="Times New Roman"/>
          <w:b/>
          <w:bCs/>
          <w:color w:val="000000"/>
          <w:kern w:val="2"/>
          <w:szCs w:val="24"/>
          <w14:ligatures w14:val="standardContextual"/>
        </w:rPr>
      </w:pPr>
      <w:r w:rsidRPr="007F68FC">
        <w:rPr>
          <w:rFonts w:ascii="Times New Roman" w:eastAsia="Times New Roman" w:hAnsi="Times New Roman" w:cs="Times New Roman"/>
          <w:b/>
          <w:bCs/>
          <w:color w:val="000000"/>
          <w:kern w:val="2"/>
          <w:szCs w:val="24"/>
          <w14:ligatures w14:val="standardContextual"/>
        </w:rPr>
        <w:t>3.1.4 Length of Service of Respondents</w:t>
      </w:r>
    </w:p>
    <w:p w14:paraId="57F03D68" w14:textId="1D7A244F" w:rsidR="007F68FC" w:rsidRPr="007F68FC" w:rsidRDefault="007F68FC" w:rsidP="007F68FC">
      <w:pPr>
        <w:spacing w:after="5"/>
        <w:rPr>
          <w:rFonts w:ascii="Times New Roman" w:eastAsia="Times New Roman" w:hAnsi="Times New Roman" w:cs="Times New Roman"/>
          <w:color w:val="000000"/>
          <w:kern w:val="2"/>
          <w:szCs w:val="24"/>
          <w14:ligatures w14:val="standardContextual"/>
        </w:rPr>
      </w:pPr>
      <w:r w:rsidRPr="007F68FC">
        <w:rPr>
          <w:rFonts w:ascii="Times New Roman" w:eastAsia="Times New Roman" w:hAnsi="Times New Roman" w:cs="Times New Roman"/>
          <w:color w:val="000000"/>
          <w:kern w:val="2"/>
          <w:szCs w:val="24"/>
          <w14:ligatures w14:val="standardContextual"/>
        </w:rPr>
        <w:t>A large proportion of respondents had relatively short organizational tenure, with 35.7% serving one to five years and 28.7% serving six to ten years.</w:t>
      </w:r>
      <w:r>
        <w:rPr>
          <w:rFonts w:ascii="Times New Roman" w:eastAsia="Times New Roman" w:hAnsi="Times New Roman" w:cs="Times New Roman"/>
          <w:color w:val="000000"/>
          <w:kern w:val="2"/>
          <w:szCs w:val="24"/>
          <w14:ligatures w14:val="standardContextual"/>
        </w:rPr>
        <w:t xml:space="preserve"> </w:t>
      </w:r>
      <w:r w:rsidRPr="007F68FC">
        <w:rPr>
          <w:rFonts w:ascii="Times New Roman" w:eastAsia="Times New Roman" w:hAnsi="Times New Roman" w:cs="Times New Roman"/>
          <w:color w:val="000000"/>
          <w:kern w:val="2"/>
          <w:szCs w:val="24"/>
          <w14:ligatures w14:val="standardContextual"/>
        </w:rPr>
        <w:t>Employees in early and mid-tenure stages are typically engaged in acquiring institutional knowledge and professional competence. Training needs therefore vary according to tenure, with newer employees requiring foundational orientation while experienced personnel benefit from advanced or leadership-oriented development programs (Dessler, 2020). The distribution highlights the need for multi-tiered learning interventions that address both entry-level competency development and long-term career advancement.</w:t>
      </w:r>
    </w:p>
    <w:p w14:paraId="367091E1" w14:textId="77777777" w:rsidR="007F68FC" w:rsidRPr="007F68FC" w:rsidRDefault="007F68FC" w:rsidP="007F68FC">
      <w:pPr>
        <w:spacing w:after="5"/>
        <w:ind w:left="-5" w:hanging="10"/>
        <w:rPr>
          <w:rFonts w:ascii="Times New Roman" w:eastAsia="Times New Roman" w:hAnsi="Times New Roman" w:cs="Times New Roman"/>
          <w:color w:val="000000"/>
          <w:kern w:val="2"/>
          <w:szCs w:val="24"/>
          <w14:ligatures w14:val="standardContextual"/>
        </w:rPr>
      </w:pPr>
    </w:p>
    <w:p w14:paraId="17992913" w14:textId="77777777" w:rsidR="007F68FC" w:rsidRPr="007F68FC" w:rsidRDefault="007F68FC" w:rsidP="007F68FC">
      <w:pPr>
        <w:spacing w:after="5"/>
        <w:ind w:left="-5" w:firstLine="725"/>
        <w:rPr>
          <w:rFonts w:ascii="Times New Roman" w:eastAsia="Times New Roman" w:hAnsi="Times New Roman" w:cs="Times New Roman"/>
          <w:b/>
          <w:bCs/>
          <w:color w:val="000000"/>
          <w:kern w:val="2"/>
          <w:szCs w:val="24"/>
          <w14:ligatures w14:val="standardContextual"/>
        </w:rPr>
      </w:pPr>
      <w:r w:rsidRPr="007F68FC">
        <w:rPr>
          <w:rFonts w:ascii="Times New Roman" w:eastAsia="Times New Roman" w:hAnsi="Times New Roman" w:cs="Times New Roman"/>
          <w:b/>
          <w:bCs/>
          <w:color w:val="000000"/>
          <w:kern w:val="2"/>
          <w:szCs w:val="24"/>
          <w14:ligatures w14:val="standardContextual"/>
        </w:rPr>
        <w:t>3.1.5 Training Exposure of Respondents</w:t>
      </w:r>
    </w:p>
    <w:p w14:paraId="1ACC7EB4" w14:textId="445E7CBF" w:rsidR="007F68FC" w:rsidRPr="007F68FC" w:rsidRDefault="007F68FC" w:rsidP="007F68FC">
      <w:pPr>
        <w:spacing w:after="5"/>
        <w:rPr>
          <w:rFonts w:ascii="Times New Roman" w:eastAsia="Times New Roman" w:hAnsi="Times New Roman" w:cs="Times New Roman"/>
          <w:color w:val="000000"/>
          <w:kern w:val="2"/>
          <w:szCs w:val="24"/>
          <w14:ligatures w14:val="standardContextual"/>
        </w:rPr>
      </w:pPr>
      <w:r w:rsidRPr="007F68FC">
        <w:rPr>
          <w:rFonts w:ascii="Times New Roman" w:eastAsia="Times New Roman" w:hAnsi="Times New Roman" w:cs="Times New Roman"/>
          <w:color w:val="000000"/>
          <w:kern w:val="2"/>
          <w:szCs w:val="24"/>
          <w14:ligatures w14:val="standardContextual"/>
        </w:rPr>
        <w:t>Most respondents reported attending between one and ten training programs (52.0%), while others attended between eleven and twenty training programs (21.6%). Only one respondent reported no participation in training.</w:t>
      </w:r>
      <w:r>
        <w:rPr>
          <w:rFonts w:ascii="Times New Roman" w:eastAsia="Times New Roman" w:hAnsi="Times New Roman" w:cs="Times New Roman"/>
          <w:color w:val="000000"/>
          <w:kern w:val="2"/>
          <w:szCs w:val="24"/>
          <w14:ligatures w14:val="standardContextual"/>
        </w:rPr>
        <w:t xml:space="preserve"> </w:t>
      </w:r>
      <w:r w:rsidRPr="007F68FC">
        <w:rPr>
          <w:rFonts w:ascii="Times New Roman" w:eastAsia="Times New Roman" w:hAnsi="Times New Roman" w:cs="Times New Roman"/>
          <w:color w:val="000000"/>
          <w:kern w:val="2"/>
          <w:szCs w:val="24"/>
          <w14:ligatures w14:val="standardContextual"/>
        </w:rPr>
        <w:t>Frequent participation in training programs supports continuous learning and strengthens the transfer of knowledge and skills into workplace practice. Regular training exposure reinforces job-related competencies and helps employees remain aligned with evolving policies, technologies, and organizational standards (Salas et al., 2012). However, variations in training exposure suggest that organizations must ensure equitable access to learning opportunities across employee groups.</w:t>
      </w:r>
    </w:p>
    <w:p w14:paraId="322571BE" w14:textId="77777777" w:rsidR="007F68FC" w:rsidRPr="007F68FC" w:rsidRDefault="007F68FC" w:rsidP="007F68FC">
      <w:pPr>
        <w:spacing w:after="5"/>
        <w:ind w:left="-5" w:hanging="10"/>
        <w:rPr>
          <w:rFonts w:ascii="Times New Roman" w:eastAsia="Times New Roman" w:hAnsi="Times New Roman" w:cs="Times New Roman"/>
          <w:color w:val="000000"/>
          <w:kern w:val="2"/>
          <w:szCs w:val="24"/>
          <w14:ligatures w14:val="standardContextual"/>
        </w:rPr>
      </w:pPr>
    </w:p>
    <w:p w14:paraId="61896242" w14:textId="77777777" w:rsidR="007F68FC" w:rsidRPr="007F68FC" w:rsidRDefault="007F68FC" w:rsidP="007F68FC">
      <w:pPr>
        <w:spacing w:after="5"/>
        <w:ind w:left="-5" w:firstLine="725"/>
        <w:rPr>
          <w:rFonts w:ascii="Times New Roman" w:eastAsia="Times New Roman" w:hAnsi="Times New Roman" w:cs="Times New Roman"/>
          <w:b/>
          <w:bCs/>
          <w:color w:val="000000"/>
          <w:kern w:val="2"/>
          <w:szCs w:val="24"/>
          <w14:ligatures w14:val="standardContextual"/>
        </w:rPr>
      </w:pPr>
      <w:r w:rsidRPr="007F68FC">
        <w:rPr>
          <w:rFonts w:ascii="Times New Roman" w:eastAsia="Times New Roman" w:hAnsi="Times New Roman" w:cs="Times New Roman"/>
          <w:b/>
          <w:bCs/>
          <w:color w:val="000000"/>
          <w:kern w:val="2"/>
          <w:szCs w:val="24"/>
          <w14:ligatures w14:val="standardContextual"/>
        </w:rPr>
        <w:t>3.1.6 Mode of Training Delivery</w:t>
      </w:r>
    </w:p>
    <w:p w14:paraId="7D4B48E0" w14:textId="126AEFAE" w:rsidR="007F68FC" w:rsidRPr="007F68FC" w:rsidRDefault="007F68FC" w:rsidP="007F68FC">
      <w:pPr>
        <w:spacing w:after="5"/>
        <w:rPr>
          <w:rFonts w:ascii="Times New Roman" w:eastAsia="Times New Roman" w:hAnsi="Times New Roman" w:cs="Times New Roman"/>
          <w:color w:val="000000"/>
          <w:kern w:val="2"/>
          <w:szCs w:val="24"/>
          <w14:ligatures w14:val="standardContextual"/>
        </w:rPr>
      </w:pPr>
      <w:r w:rsidRPr="007F68FC">
        <w:rPr>
          <w:rFonts w:ascii="Times New Roman" w:eastAsia="Times New Roman" w:hAnsi="Times New Roman" w:cs="Times New Roman"/>
          <w:color w:val="000000"/>
          <w:kern w:val="2"/>
          <w:szCs w:val="24"/>
          <w14:ligatures w14:val="standardContextual"/>
        </w:rPr>
        <w:t>Blended learning was the most common training mode experienced by respondents (64.9%), followed by online training (19.9%) and face-to-face training (14.6%).</w:t>
      </w:r>
      <w:r>
        <w:rPr>
          <w:rFonts w:ascii="Times New Roman" w:eastAsia="Times New Roman" w:hAnsi="Times New Roman" w:cs="Times New Roman"/>
          <w:color w:val="000000"/>
          <w:kern w:val="2"/>
          <w:szCs w:val="24"/>
          <w14:ligatures w14:val="standardContextual"/>
        </w:rPr>
        <w:t xml:space="preserve"> </w:t>
      </w:r>
      <w:r w:rsidRPr="007F68FC">
        <w:rPr>
          <w:rFonts w:ascii="Times New Roman" w:eastAsia="Times New Roman" w:hAnsi="Times New Roman" w:cs="Times New Roman"/>
          <w:color w:val="000000"/>
          <w:kern w:val="2"/>
          <w:szCs w:val="24"/>
          <w14:ligatures w14:val="standardContextual"/>
        </w:rPr>
        <w:t>The dominance of blended learning reflects the growing adoption of flexible training models that combine digital and in-person approaches. Blended learning environments provide accessibility, flexibility, and opportunities for practical engagement, making them particularly effective in professional training contexts (Graham, 2013). The use of multiple training modes indicates an institutional effort to accommodate diverse learning preferences and operational constraints.</w:t>
      </w:r>
    </w:p>
    <w:p w14:paraId="4C37A75F" w14:textId="77777777" w:rsidR="007F68FC" w:rsidRPr="007F68FC" w:rsidRDefault="007F68FC" w:rsidP="007F68FC">
      <w:pPr>
        <w:spacing w:after="5"/>
        <w:ind w:left="-5" w:hanging="10"/>
        <w:rPr>
          <w:rFonts w:ascii="Times New Roman" w:eastAsia="Times New Roman" w:hAnsi="Times New Roman" w:cs="Times New Roman"/>
          <w:b/>
          <w:bCs/>
          <w:color w:val="000000"/>
          <w:kern w:val="2"/>
          <w:szCs w:val="24"/>
          <w14:ligatures w14:val="standardContextual"/>
        </w:rPr>
      </w:pPr>
    </w:p>
    <w:p w14:paraId="0E1CB3DE" w14:textId="77777777" w:rsidR="007F68FC" w:rsidRPr="007F68FC" w:rsidRDefault="007F68FC" w:rsidP="007F68FC">
      <w:pPr>
        <w:spacing w:after="5"/>
        <w:ind w:left="-5" w:hanging="10"/>
        <w:rPr>
          <w:rFonts w:ascii="Times New Roman" w:eastAsia="Times New Roman" w:hAnsi="Times New Roman" w:cs="Times New Roman"/>
          <w:b/>
          <w:bCs/>
          <w:color w:val="000000"/>
          <w:kern w:val="2"/>
          <w:szCs w:val="24"/>
          <w14:ligatures w14:val="standardContextual"/>
        </w:rPr>
      </w:pPr>
      <w:r w:rsidRPr="007F68FC">
        <w:rPr>
          <w:rFonts w:ascii="Times New Roman" w:eastAsia="Times New Roman" w:hAnsi="Times New Roman" w:cs="Times New Roman"/>
          <w:b/>
          <w:bCs/>
          <w:color w:val="000000"/>
          <w:kern w:val="2"/>
          <w:szCs w:val="24"/>
          <w14:ligatures w14:val="standardContextual"/>
        </w:rPr>
        <w:t>3.2 Assessment of PRC Learning Interventions</w:t>
      </w:r>
    </w:p>
    <w:p w14:paraId="7E2D02A4" w14:textId="77777777" w:rsidR="007F68FC" w:rsidRPr="007F68FC" w:rsidRDefault="007F68FC" w:rsidP="007F68FC">
      <w:pPr>
        <w:spacing w:after="5"/>
        <w:ind w:left="-5" w:firstLine="725"/>
        <w:rPr>
          <w:rFonts w:ascii="Times New Roman" w:eastAsia="Times New Roman" w:hAnsi="Times New Roman" w:cs="Times New Roman"/>
          <w:b/>
          <w:bCs/>
          <w:color w:val="000000"/>
          <w:kern w:val="2"/>
          <w:szCs w:val="24"/>
          <w14:ligatures w14:val="standardContextual"/>
        </w:rPr>
      </w:pPr>
      <w:r w:rsidRPr="007F68FC">
        <w:rPr>
          <w:rFonts w:ascii="Times New Roman" w:eastAsia="Times New Roman" w:hAnsi="Times New Roman" w:cs="Times New Roman"/>
          <w:b/>
          <w:bCs/>
          <w:color w:val="000000"/>
          <w:kern w:val="2"/>
          <w:szCs w:val="24"/>
          <w14:ligatures w14:val="standardContextual"/>
        </w:rPr>
        <w:t>3.2.1 Reaction to Learning Interventions</w:t>
      </w:r>
    </w:p>
    <w:p w14:paraId="57846C0E" w14:textId="742939AD" w:rsidR="007F68FC" w:rsidRPr="007F68FC" w:rsidRDefault="007F68FC" w:rsidP="007F68FC">
      <w:pPr>
        <w:spacing w:after="5"/>
        <w:rPr>
          <w:rFonts w:ascii="Times New Roman" w:eastAsia="Times New Roman" w:hAnsi="Times New Roman" w:cs="Times New Roman"/>
          <w:color w:val="000000"/>
          <w:kern w:val="2"/>
          <w:szCs w:val="24"/>
          <w14:ligatures w14:val="standardContextual"/>
        </w:rPr>
      </w:pPr>
      <w:r w:rsidRPr="007F68FC">
        <w:rPr>
          <w:rFonts w:ascii="Times New Roman" w:eastAsia="Times New Roman" w:hAnsi="Times New Roman" w:cs="Times New Roman"/>
          <w:color w:val="000000"/>
          <w:kern w:val="2"/>
          <w:szCs w:val="24"/>
          <w14:ligatures w14:val="standardContextual"/>
        </w:rPr>
        <w:t>Respondents expressed very positive reactions toward PRC learning interventions, with an overall mean of 3.63 interpreted as strongly agreeing. The highest score reflected willingness to participate in training programs (M = 3.88), followed by the availability of guidance during training sessions (M = 3.61). Participants also strongly agreed that training activities involving digital tools were relevant to their job assignments (M = 3.52) and that digital literacy materials were clear and understandable (M = 3.51).</w:t>
      </w:r>
      <w:r>
        <w:rPr>
          <w:rFonts w:ascii="Times New Roman" w:eastAsia="Times New Roman" w:hAnsi="Times New Roman" w:cs="Times New Roman"/>
          <w:color w:val="000000"/>
          <w:kern w:val="2"/>
          <w:szCs w:val="24"/>
          <w14:ligatures w14:val="standardContextual"/>
        </w:rPr>
        <w:t xml:space="preserve"> </w:t>
      </w:r>
      <w:r w:rsidRPr="007F68FC">
        <w:rPr>
          <w:rFonts w:ascii="Times New Roman" w:eastAsia="Times New Roman" w:hAnsi="Times New Roman" w:cs="Times New Roman"/>
          <w:color w:val="000000"/>
          <w:kern w:val="2"/>
          <w:szCs w:val="24"/>
          <w14:ligatures w14:val="standardContextual"/>
        </w:rPr>
        <w:t>Positive participant reactions indicate that PRC learning programs are perceived as relevant, supportive, and accessible. According to Kirkpatrick and Kirkpatrick (2006), favorable trainee reactions represent the first level of training evaluation and serve as a prerequisite for effective learning and behavioral change. Training literature further emphasizes that motivation, instructional clarity, job relevance, and interactive learning environments significantly influence positive learner responses and training effectiveness (Knowles et al., 2015; Noe, 2020; Salas et al., 2012; Sitzmann et al., 2008).</w:t>
      </w:r>
    </w:p>
    <w:p w14:paraId="0E323E70" w14:textId="77777777" w:rsidR="007F68FC" w:rsidRPr="007F68FC" w:rsidRDefault="007F68FC" w:rsidP="007F68FC">
      <w:pPr>
        <w:spacing w:after="5"/>
        <w:ind w:left="-5" w:hanging="10"/>
        <w:rPr>
          <w:rFonts w:ascii="Times New Roman" w:eastAsia="Times New Roman" w:hAnsi="Times New Roman" w:cs="Times New Roman"/>
          <w:color w:val="000000"/>
          <w:kern w:val="2"/>
          <w:szCs w:val="24"/>
          <w14:ligatures w14:val="standardContextual"/>
        </w:rPr>
      </w:pPr>
    </w:p>
    <w:p w14:paraId="56A2FD52" w14:textId="49F9AE90" w:rsidR="007F68FC" w:rsidRPr="00022C1A" w:rsidRDefault="007F68FC" w:rsidP="00022C1A">
      <w:pPr>
        <w:spacing w:after="5"/>
        <w:ind w:left="-5" w:firstLine="725"/>
        <w:rPr>
          <w:rFonts w:ascii="Times New Roman" w:eastAsia="Times New Roman" w:hAnsi="Times New Roman" w:cs="Times New Roman"/>
          <w:b/>
          <w:bCs/>
          <w:color w:val="000000"/>
          <w:kern w:val="2"/>
          <w:szCs w:val="24"/>
          <w14:ligatures w14:val="standardContextual"/>
        </w:rPr>
      </w:pPr>
      <w:r w:rsidRPr="007F68FC">
        <w:rPr>
          <w:rFonts w:ascii="Times New Roman" w:eastAsia="Times New Roman" w:hAnsi="Times New Roman" w:cs="Times New Roman"/>
          <w:b/>
          <w:bCs/>
          <w:color w:val="000000"/>
          <w:kern w:val="2"/>
          <w:szCs w:val="24"/>
          <w14:ligatures w14:val="standardContextual"/>
        </w:rPr>
        <w:t>3.2.2 Learning Outcomes of Training Programs</w:t>
      </w:r>
    </w:p>
    <w:p w14:paraId="790D8C0B" w14:textId="657E1063" w:rsidR="007F68FC" w:rsidRPr="007F68FC" w:rsidRDefault="007F68FC" w:rsidP="007F68FC">
      <w:pPr>
        <w:spacing w:after="5"/>
        <w:ind w:left="-5" w:hanging="10"/>
        <w:rPr>
          <w:rFonts w:ascii="Times New Roman" w:eastAsia="Times New Roman" w:hAnsi="Times New Roman" w:cs="Times New Roman"/>
          <w:color w:val="000000"/>
          <w:kern w:val="2"/>
          <w:szCs w:val="24"/>
          <w14:ligatures w14:val="standardContextual"/>
        </w:rPr>
      </w:pPr>
      <w:r w:rsidRPr="007F68FC">
        <w:rPr>
          <w:rFonts w:ascii="Times New Roman" w:eastAsia="Times New Roman" w:hAnsi="Times New Roman" w:cs="Times New Roman"/>
          <w:color w:val="000000"/>
          <w:kern w:val="2"/>
          <w:szCs w:val="24"/>
          <w14:ligatures w14:val="standardContextual"/>
        </w:rPr>
        <w:t>The learning dimension also received a strong evaluation with an overall mean of 3.63, indicating that respondents perceived meaningful gains in knowledge, skills, and attitudes from the PRC training programs. The highest rating was given to post-training activities that reinforce learning (M = 3.79), followed by digital literacy training improving work performance (M = 3.61). Mental health awareness discussions (M = 3.60), emotional well-being workshops (M = 3.58), and stress management sessions (M = 3.55) were also strongly supported.</w:t>
      </w:r>
      <w:r>
        <w:rPr>
          <w:rFonts w:ascii="Times New Roman" w:eastAsia="Times New Roman" w:hAnsi="Times New Roman" w:cs="Times New Roman"/>
          <w:color w:val="000000"/>
          <w:kern w:val="2"/>
          <w:szCs w:val="24"/>
          <w14:ligatures w14:val="standardContextual"/>
        </w:rPr>
        <w:t xml:space="preserve"> </w:t>
      </w:r>
      <w:r w:rsidRPr="007F68FC">
        <w:rPr>
          <w:rFonts w:ascii="Times New Roman" w:eastAsia="Times New Roman" w:hAnsi="Times New Roman" w:cs="Times New Roman"/>
          <w:color w:val="000000"/>
          <w:kern w:val="2"/>
          <w:szCs w:val="24"/>
          <w14:ligatures w14:val="standardContextual"/>
        </w:rPr>
        <w:t>These results suggest that PRC learning interventions successfully address both technical and psychosocial competencies. Reinforcement mechanisms such as follow-up tasks and reflective activities play a crucial role in strengthening knowledge retention and skill transfer (Salas et al., 2012). Digital literacy training is particularly important in technology-driven workplaces (Van Laar et al., 2017), while well-being programs improve coping abilities and emotional regulation among employees (Gross, 2015; World Health Organization, 2022). These outcomes align with the learning level of Kirkpatrick’s evaluation framework (Kirkpatrick &amp; Kirkpatrick, 2006).</w:t>
      </w:r>
    </w:p>
    <w:p w14:paraId="17C28D5E" w14:textId="77777777" w:rsidR="007F68FC" w:rsidRPr="007F68FC" w:rsidRDefault="007F68FC" w:rsidP="007F68FC">
      <w:pPr>
        <w:spacing w:after="5"/>
        <w:ind w:left="-5" w:hanging="10"/>
        <w:rPr>
          <w:rFonts w:ascii="Times New Roman" w:eastAsia="Times New Roman" w:hAnsi="Times New Roman" w:cs="Times New Roman"/>
          <w:color w:val="000000"/>
          <w:kern w:val="2"/>
          <w:szCs w:val="24"/>
          <w14:ligatures w14:val="standardContextual"/>
        </w:rPr>
      </w:pPr>
    </w:p>
    <w:p w14:paraId="1DB5FCEF" w14:textId="77777777" w:rsidR="007F68FC" w:rsidRPr="007F68FC" w:rsidRDefault="007F68FC" w:rsidP="007F68FC">
      <w:pPr>
        <w:spacing w:after="5"/>
        <w:ind w:left="715" w:firstLine="5"/>
        <w:rPr>
          <w:rFonts w:ascii="Times New Roman" w:eastAsia="Times New Roman" w:hAnsi="Times New Roman" w:cs="Times New Roman"/>
          <w:b/>
          <w:bCs/>
          <w:color w:val="000000"/>
          <w:kern w:val="2"/>
          <w:szCs w:val="24"/>
          <w14:ligatures w14:val="standardContextual"/>
        </w:rPr>
      </w:pPr>
      <w:r w:rsidRPr="007F68FC">
        <w:rPr>
          <w:rFonts w:ascii="Times New Roman" w:eastAsia="Times New Roman" w:hAnsi="Times New Roman" w:cs="Times New Roman"/>
          <w:b/>
          <w:bCs/>
          <w:color w:val="000000"/>
          <w:kern w:val="2"/>
          <w:szCs w:val="24"/>
          <w14:ligatures w14:val="standardContextual"/>
        </w:rPr>
        <w:t>3.2.3 Behavioral Changes After Training</w:t>
      </w:r>
    </w:p>
    <w:p w14:paraId="493AE347" w14:textId="45A7E959" w:rsidR="007F68FC" w:rsidRPr="007F68FC" w:rsidRDefault="007F68FC" w:rsidP="007F68FC">
      <w:pPr>
        <w:spacing w:after="5"/>
        <w:rPr>
          <w:rFonts w:ascii="Times New Roman" w:eastAsia="Times New Roman" w:hAnsi="Times New Roman" w:cs="Times New Roman"/>
          <w:color w:val="000000"/>
          <w:kern w:val="2"/>
          <w:szCs w:val="24"/>
          <w14:ligatures w14:val="standardContextual"/>
        </w:rPr>
      </w:pPr>
      <w:r w:rsidRPr="007F68FC">
        <w:rPr>
          <w:rFonts w:ascii="Times New Roman" w:eastAsia="Times New Roman" w:hAnsi="Times New Roman" w:cs="Times New Roman"/>
          <w:color w:val="000000"/>
          <w:kern w:val="2"/>
          <w:szCs w:val="24"/>
          <w14:ligatures w14:val="standardContextual"/>
        </w:rPr>
        <w:t>Participants strongly agreed that PRC learning interventions influenced their workplace behavior, with an overall mean of 3.60. Reflection and self-assessment practices received the highest rating (M = 3.67), followed by the application of leadership training in daily work (M = 3.63) and participation in team-building activities (M = 3.59). Ethical leadership practices (M = 3.58) and improved communication, decision-making, and problem-solving skills (M = 3.54) also received strong support.</w:t>
      </w:r>
      <w:r>
        <w:rPr>
          <w:rFonts w:ascii="Times New Roman" w:eastAsia="Times New Roman" w:hAnsi="Times New Roman" w:cs="Times New Roman"/>
          <w:color w:val="000000"/>
          <w:kern w:val="2"/>
          <w:szCs w:val="24"/>
          <w14:ligatures w14:val="standardContextual"/>
        </w:rPr>
        <w:t xml:space="preserve"> </w:t>
      </w:r>
      <w:r w:rsidRPr="007F68FC">
        <w:rPr>
          <w:rFonts w:ascii="Times New Roman" w:eastAsia="Times New Roman" w:hAnsi="Times New Roman" w:cs="Times New Roman"/>
          <w:color w:val="000000"/>
          <w:kern w:val="2"/>
          <w:szCs w:val="24"/>
          <w14:ligatures w14:val="standardContextual"/>
        </w:rPr>
        <w:t>Behavioral change demonstrates that training outcomes extend beyond knowledge acquisition and are applied in workplace practice. According to Kirkpatrick and Kirkpatrick (2006), behavioral change represents the third level of training evaluation, indicating successful transfer of learning. Factors such as reflective practice, managerial support, and opportunities to apply new skills enhance the likelihood of behavioral change (Baldwin &amp; Ford, 1988). Leadership and team-building interventions are also known to strengthen teamwork, ethical conduct, and collaborative performance (Day et al., 2014; Yukl, 2013).</w:t>
      </w:r>
    </w:p>
    <w:p w14:paraId="732E063D" w14:textId="77777777" w:rsidR="007F68FC" w:rsidRPr="007F68FC" w:rsidRDefault="007F68FC" w:rsidP="007F68FC">
      <w:pPr>
        <w:spacing w:after="5"/>
        <w:ind w:left="-5" w:hanging="10"/>
        <w:rPr>
          <w:rFonts w:ascii="Times New Roman" w:eastAsia="Times New Roman" w:hAnsi="Times New Roman" w:cs="Times New Roman"/>
          <w:color w:val="000000"/>
          <w:kern w:val="2"/>
          <w:szCs w:val="24"/>
          <w14:ligatures w14:val="standardContextual"/>
        </w:rPr>
      </w:pPr>
    </w:p>
    <w:p w14:paraId="47B23E22" w14:textId="77777777" w:rsidR="007F68FC" w:rsidRPr="007F68FC" w:rsidRDefault="007F68FC" w:rsidP="007F68FC">
      <w:pPr>
        <w:spacing w:after="5"/>
        <w:ind w:left="-5" w:firstLine="725"/>
        <w:rPr>
          <w:rFonts w:ascii="Times New Roman" w:eastAsia="Times New Roman" w:hAnsi="Times New Roman" w:cs="Times New Roman"/>
          <w:b/>
          <w:bCs/>
          <w:color w:val="000000"/>
          <w:kern w:val="2"/>
          <w:szCs w:val="24"/>
          <w14:ligatures w14:val="standardContextual"/>
        </w:rPr>
      </w:pPr>
      <w:r w:rsidRPr="007F68FC">
        <w:rPr>
          <w:rFonts w:ascii="Times New Roman" w:eastAsia="Times New Roman" w:hAnsi="Times New Roman" w:cs="Times New Roman"/>
          <w:b/>
          <w:bCs/>
          <w:color w:val="000000"/>
          <w:kern w:val="2"/>
          <w:szCs w:val="24"/>
          <w14:ligatures w14:val="standardContextual"/>
        </w:rPr>
        <w:t>3.2.4 Organizational Results of Learning Interventions</w:t>
      </w:r>
    </w:p>
    <w:p w14:paraId="1FD62233" w14:textId="5563CCB9" w:rsidR="007F68FC" w:rsidRPr="007F68FC" w:rsidRDefault="007F68FC" w:rsidP="007F68FC">
      <w:pPr>
        <w:spacing w:after="5"/>
        <w:rPr>
          <w:rFonts w:ascii="Times New Roman" w:eastAsia="Times New Roman" w:hAnsi="Times New Roman" w:cs="Times New Roman"/>
          <w:color w:val="000000"/>
          <w:kern w:val="2"/>
          <w:szCs w:val="24"/>
          <w14:ligatures w14:val="standardContextual"/>
        </w:rPr>
      </w:pPr>
      <w:r w:rsidRPr="007F68FC">
        <w:rPr>
          <w:rFonts w:ascii="Times New Roman" w:eastAsia="Times New Roman" w:hAnsi="Times New Roman" w:cs="Times New Roman"/>
          <w:color w:val="000000"/>
          <w:kern w:val="2"/>
          <w:szCs w:val="24"/>
          <w14:ligatures w14:val="standardContextual"/>
        </w:rPr>
        <w:t>The results dimension received an overall mean of 3.60, showing that respondents perceived significant improvements in productivity, workflow organization, and job performance. Evaluation and control techniques and planning and coordination exercises both received the highest ratings (M = 3.64), followed by systematic work processes that improve productivity (M = 3.59). Administrative skills (M = 3.57) and time management (M = 3.56) were also strongly endorsed.</w:t>
      </w:r>
      <w:r>
        <w:rPr>
          <w:rFonts w:ascii="Times New Roman" w:eastAsia="Times New Roman" w:hAnsi="Times New Roman" w:cs="Times New Roman"/>
          <w:color w:val="000000"/>
          <w:kern w:val="2"/>
          <w:szCs w:val="24"/>
          <w14:ligatures w14:val="standardContextual"/>
        </w:rPr>
        <w:t xml:space="preserve"> </w:t>
      </w:r>
      <w:r w:rsidRPr="007F68FC">
        <w:rPr>
          <w:rFonts w:ascii="Times New Roman" w:eastAsia="Times New Roman" w:hAnsi="Times New Roman" w:cs="Times New Roman"/>
          <w:color w:val="000000"/>
          <w:kern w:val="2"/>
          <w:szCs w:val="24"/>
          <w14:ligatures w14:val="standardContextual"/>
        </w:rPr>
        <w:t>These findings indicate that PRC training programs contribute to measurable organizational outcomes. The results level of Kirkpatrick’s evaluation model focuses on training impacts such as productivity, efficiency, and quality improvement (Kirkpatrick &amp; Kirkpatrick, 2006). Training programs that strengthen administrative competence, planning, and coordination are known to enhance organizational performance and operational effectiveness (Aguinis &amp; Kraiger, 2009; Salas et al., 2012; Blume et al., 2010).</w:t>
      </w:r>
    </w:p>
    <w:p w14:paraId="74EAC7BB" w14:textId="77777777" w:rsidR="007F68FC" w:rsidRPr="007F68FC" w:rsidRDefault="007F68FC" w:rsidP="007F68FC">
      <w:pPr>
        <w:spacing w:after="5"/>
        <w:ind w:left="-5" w:hanging="10"/>
        <w:rPr>
          <w:rFonts w:ascii="Times New Roman" w:eastAsia="Times New Roman" w:hAnsi="Times New Roman" w:cs="Times New Roman"/>
          <w:color w:val="000000"/>
          <w:kern w:val="2"/>
          <w:szCs w:val="24"/>
          <w14:ligatures w14:val="standardContextual"/>
        </w:rPr>
      </w:pPr>
    </w:p>
    <w:p w14:paraId="6DFD3C87" w14:textId="77777777" w:rsidR="007F68FC" w:rsidRPr="007F68FC" w:rsidRDefault="007F68FC" w:rsidP="007F68FC">
      <w:pPr>
        <w:spacing w:after="5"/>
        <w:ind w:left="-5" w:hanging="10"/>
        <w:rPr>
          <w:rFonts w:ascii="Times New Roman" w:eastAsia="Times New Roman" w:hAnsi="Times New Roman" w:cs="Times New Roman"/>
          <w:b/>
          <w:bCs/>
          <w:color w:val="000000"/>
          <w:kern w:val="2"/>
          <w:szCs w:val="24"/>
          <w14:ligatures w14:val="standardContextual"/>
        </w:rPr>
      </w:pPr>
      <w:r w:rsidRPr="007F68FC">
        <w:rPr>
          <w:rFonts w:ascii="Times New Roman" w:eastAsia="Times New Roman" w:hAnsi="Times New Roman" w:cs="Times New Roman"/>
          <w:b/>
          <w:bCs/>
          <w:color w:val="000000"/>
          <w:kern w:val="2"/>
          <w:szCs w:val="24"/>
          <w14:ligatures w14:val="standardContextual"/>
        </w:rPr>
        <w:t>3.3 Employee Performance Outcomes</w:t>
      </w:r>
    </w:p>
    <w:p w14:paraId="270800F4" w14:textId="77777777" w:rsidR="007F68FC" w:rsidRPr="007F68FC" w:rsidRDefault="007F68FC" w:rsidP="007F68FC">
      <w:pPr>
        <w:spacing w:after="5"/>
        <w:ind w:left="-5" w:firstLine="725"/>
        <w:rPr>
          <w:rFonts w:ascii="Times New Roman" w:eastAsia="Times New Roman" w:hAnsi="Times New Roman" w:cs="Times New Roman"/>
          <w:b/>
          <w:bCs/>
          <w:color w:val="000000"/>
          <w:kern w:val="2"/>
          <w:szCs w:val="24"/>
          <w14:ligatures w14:val="standardContextual"/>
        </w:rPr>
      </w:pPr>
      <w:r w:rsidRPr="007F68FC">
        <w:rPr>
          <w:rFonts w:ascii="Times New Roman" w:eastAsia="Times New Roman" w:hAnsi="Times New Roman" w:cs="Times New Roman"/>
          <w:b/>
          <w:bCs/>
          <w:color w:val="000000"/>
          <w:kern w:val="2"/>
          <w:szCs w:val="24"/>
          <w14:ligatures w14:val="standardContextual"/>
        </w:rPr>
        <w:t>3.3.1 Work Quality</w:t>
      </w:r>
    </w:p>
    <w:p w14:paraId="7EB7F714" w14:textId="6FA5C236" w:rsidR="007F68FC" w:rsidRPr="007F68FC" w:rsidRDefault="007F68FC" w:rsidP="007F68FC">
      <w:pPr>
        <w:spacing w:after="5"/>
        <w:rPr>
          <w:rFonts w:ascii="Times New Roman" w:eastAsia="Times New Roman" w:hAnsi="Times New Roman" w:cs="Times New Roman"/>
          <w:color w:val="000000"/>
          <w:kern w:val="2"/>
          <w:szCs w:val="24"/>
          <w14:ligatures w14:val="standardContextual"/>
        </w:rPr>
      </w:pPr>
      <w:r w:rsidRPr="007F68FC">
        <w:rPr>
          <w:rFonts w:ascii="Times New Roman" w:eastAsia="Times New Roman" w:hAnsi="Times New Roman" w:cs="Times New Roman"/>
          <w:color w:val="000000"/>
          <w:kern w:val="2"/>
          <w:szCs w:val="24"/>
          <w14:ligatures w14:val="standardContextual"/>
        </w:rPr>
        <w:t>Employees demonstrated high levels of work quality with an overall mean of 3.62. The highest rating reflected employees carefully checking their work for quality compliance (M = 3.69), followed by efforts to improve output quality (M = 3.68) and prioritizing activities to complete tasks effectively (M = 3.67). Completing assigned tasks accurately (M = 3.56) and meeting performance standards (M = 3.51) also received strong agreement.</w:t>
      </w:r>
      <w:r>
        <w:rPr>
          <w:rFonts w:ascii="Times New Roman" w:eastAsia="Times New Roman" w:hAnsi="Times New Roman" w:cs="Times New Roman"/>
          <w:color w:val="000000"/>
          <w:kern w:val="2"/>
          <w:szCs w:val="24"/>
          <w14:ligatures w14:val="standardContextual"/>
        </w:rPr>
        <w:t xml:space="preserve"> </w:t>
      </w:r>
      <w:r w:rsidRPr="007F68FC">
        <w:rPr>
          <w:rFonts w:ascii="Times New Roman" w:eastAsia="Times New Roman" w:hAnsi="Times New Roman" w:cs="Times New Roman"/>
          <w:color w:val="000000"/>
          <w:kern w:val="2"/>
          <w:szCs w:val="24"/>
          <w14:ligatures w14:val="standardContextual"/>
        </w:rPr>
        <w:t>Work quality is a key dimension of job performance involving accuracy, thoroughness, and adherence to standards (Campbell et al., 1993). High work quality has been linked to organizational effectiveness, employee retention, and service satisfaction (Borman &amp; Motowidlo, 1997). Employees who demonstrate conscientiousness, task prioritization, and proactive improvement behaviors contribute significantly to organizational productivity (Sonnentag &amp; Frese, 2002).</w:t>
      </w:r>
    </w:p>
    <w:p w14:paraId="728EA556" w14:textId="0AAAA042" w:rsidR="007F68FC" w:rsidRDefault="007F68FC" w:rsidP="007F68FC">
      <w:pPr>
        <w:spacing w:after="5"/>
        <w:ind w:left="-5" w:hanging="10"/>
        <w:rPr>
          <w:rFonts w:ascii="Times New Roman" w:eastAsia="Times New Roman" w:hAnsi="Times New Roman" w:cs="Times New Roman"/>
          <w:b/>
          <w:bCs/>
          <w:color w:val="000000"/>
          <w:kern w:val="2"/>
          <w:szCs w:val="24"/>
          <w14:ligatures w14:val="standardContextual"/>
        </w:rPr>
      </w:pPr>
    </w:p>
    <w:p w14:paraId="4ED2C490" w14:textId="06CBB82F" w:rsidR="00022C1A" w:rsidRDefault="00022C1A" w:rsidP="007F68FC">
      <w:pPr>
        <w:spacing w:after="5"/>
        <w:ind w:left="-5" w:hanging="10"/>
        <w:rPr>
          <w:rFonts w:ascii="Times New Roman" w:eastAsia="Times New Roman" w:hAnsi="Times New Roman" w:cs="Times New Roman"/>
          <w:b/>
          <w:bCs/>
          <w:color w:val="000000"/>
          <w:kern w:val="2"/>
          <w:szCs w:val="24"/>
          <w14:ligatures w14:val="standardContextual"/>
        </w:rPr>
      </w:pPr>
    </w:p>
    <w:p w14:paraId="50659DD1" w14:textId="77777777" w:rsidR="00022C1A" w:rsidRPr="007F68FC" w:rsidRDefault="00022C1A" w:rsidP="007F68FC">
      <w:pPr>
        <w:spacing w:after="5"/>
        <w:ind w:left="-5" w:hanging="10"/>
        <w:rPr>
          <w:rFonts w:ascii="Times New Roman" w:eastAsia="Times New Roman" w:hAnsi="Times New Roman" w:cs="Times New Roman"/>
          <w:b/>
          <w:bCs/>
          <w:color w:val="000000"/>
          <w:kern w:val="2"/>
          <w:szCs w:val="24"/>
          <w14:ligatures w14:val="standardContextual"/>
        </w:rPr>
      </w:pPr>
    </w:p>
    <w:p w14:paraId="6569C3CF" w14:textId="77777777" w:rsidR="007F68FC" w:rsidRPr="007F68FC" w:rsidRDefault="007F68FC" w:rsidP="007F68FC">
      <w:pPr>
        <w:spacing w:after="5"/>
        <w:ind w:left="-5" w:firstLine="725"/>
        <w:rPr>
          <w:rFonts w:ascii="Times New Roman" w:eastAsia="Times New Roman" w:hAnsi="Times New Roman" w:cs="Times New Roman"/>
          <w:b/>
          <w:bCs/>
          <w:color w:val="000000"/>
          <w:kern w:val="2"/>
          <w:szCs w:val="24"/>
          <w14:ligatures w14:val="standardContextual"/>
        </w:rPr>
      </w:pPr>
      <w:r w:rsidRPr="007F68FC">
        <w:rPr>
          <w:rFonts w:ascii="Times New Roman" w:eastAsia="Times New Roman" w:hAnsi="Times New Roman" w:cs="Times New Roman"/>
          <w:b/>
          <w:bCs/>
          <w:color w:val="000000"/>
          <w:kern w:val="2"/>
          <w:szCs w:val="24"/>
          <w14:ligatures w14:val="standardContextual"/>
        </w:rPr>
        <w:t>3.3.2 Work Efficiency</w:t>
      </w:r>
    </w:p>
    <w:p w14:paraId="3B462A0E" w14:textId="5B34704F" w:rsidR="007F68FC" w:rsidRPr="007F68FC" w:rsidRDefault="007F68FC" w:rsidP="007F68FC">
      <w:pPr>
        <w:spacing w:after="5"/>
        <w:rPr>
          <w:rFonts w:ascii="Times New Roman" w:eastAsia="Times New Roman" w:hAnsi="Times New Roman" w:cs="Times New Roman"/>
          <w:color w:val="000000"/>
          <w:kern w:val="2"/>
          <w:szCs w:val="24"/>
          <w14:ligatures w14:val="standardContextual"/>
        </w:rPr>
      </w:pPr>
      <w:r w:rsidRPr="007F68FC">
        <w:rPr>
          <w:rFonts w:ascii="Times New Roman" w:eastAsia="Times New Roman" w:hAnsi="Times New Roman" w:cs="Times New Roman"/>
          <w:color w:val="000000"/>
          <w:kern w:val="2"/>
          <w:szCs w:val="24"/>
          <w14:ligatures w14:val="standardContextual"/>
        </w:rPr>
        <w:t>Work efficiency also received high ratings with an overall mean of 3.58. The highest scores reflected employees finishing tasks within deadlines with minimal supervision (M = 3.64) and effectively managing time and workload (M = 3.64). Applying tools or systems to improve efficiency (M = 3.62) and avoiding unnecessary delays (M = 3.59) were also strongly supported.</w:t>
      </w:r>
      <w:r>
        <w:rPr>
          <w:rFonts w:ascii="Times New Roman" w:eastAsia="Times New Roman" w:hAnsi="Times New Roman" w:cs="Times New Roman"/>
          <w:color w:val="000000"/>
          <w:kern w:val="2"/>
          <w:szCs w:val="24"/>
          <w14:ligatures w14:val="standardContextual"/>
        </w:rPr>
        <w:t xml:space="preserve"> </w:t>
      </w:r>
      <w:r w:rsidRPr="007F68FC">
        <w:rPr>
          <w:rFonts w:ascii="Times New Roman" w:eastAsia="Times New Roman" w:hAnsi="Times New Roman" w:cs="Times New Roman"/>
          <w:color w:val="000000"/>
          <w:kern w:val="2"/>
          <w:szCs w:val="24"/>
          <w14:ligatures w14:val="standardContextual"/>
        </w:rPr>
        <w:t>Efficient work practices reflect employees’ ability to manage time, resources, and tasks effectively. According to Borman and Motowidlo (1997), efficiency contributes to contextual job performance and supports organizational productivity. Effective time management, prioritization, and use of workplace tools further enhance operational efficiency (Sonnentag &amp; Frese, 2002; Kreitner &amp; Kinicki, 2012).</w:t>
      </w:r>
    </w:p>
    <w:p w14:paraId="0DC82CB0" w14:textId="77777777" w:rsidR="007F68FC" w:rsidRPr="007F68FC" w:rsidRDefault="007F68FC" w:rsidP="007F68FC">
      <w:pPr>
        <w:spacing w:after="5"/>
        <w:ind w:left="-5" w:hanging="10"/>
        <w:rPr>
          <w:rFonts w:ascii="Times New Roman" w:eastAsia="Times New Roman" w:hAnsi="Times New Roman" w:cs="Times New Roman"/>
          <w:color w:val="000000"/>
          <w:kern w:val="2"/>
          <w:szCs w:val="24"/>
          <w14:ligatures w14:val="standardContextual"/>
        </w:rPr>
      </w:pPr>
    </w:p>
    <w:p w14:paraId="53671EFF" w14:textId="77777777" w:rsidR="007F68FC" w:rsidRPr="007F68FC" w:rsidRDefault="007F68FC" w:rsidP="007F68FC">
      <w:pPr>
        <w:spacing w:after="5"/>
        <w:ind w:left="-5" w:firstLine="725"/>
        <w:rPr>
          <w:rFonts w:ascii="Times New Roman" w:eastAsia="Times New Roman" w:hAnsi="Times New Roman" w:cs="Times New Roman"/>
          <w:b/>
          <w:bCs/>
          <w:color w:val="000000"/>
          <w:kern w:val="2"/>
          <w:szCs w:val="24"/>
          <w14:ligatures w14:val="standardContextual"/>
        </w:rPr>
      </w:pPr>
      <w:r w:rsidRPr="007F68FC">
        <w:rPr>
          <w:rFonts w:ascii="Times New Roman" w:eastAsia="Times New Roman" w:hAnsi="Times New Roman" w:cs="Times New Roman"/>
          <w:b/>
          <w:bCs/>
          <w:color w:val="000000"/>
          <w:kern w:val="2"/>
          <w:szCs w:val="24"/>
          <w14:ligatures w14:val="standardContextual"/>
        </w:rPr>
        <w:t>3.3.3 Teamwork and Collaboration</w:t>
      </w:r>
    </w:p>
    <w:p w14:paraId="239A86FD" w14:textId="0370D924" w:rsidR="007F68FC" w:rsidRPr="007F68FC" w:rsidRDefault="007F68FC" w:rsidP="007F68FC">
      <w:pPr>
        <w:spacing w:after="5"/>
        <w:rPr>
          <w:rFonts w:ascii="Times New Roman" w:eastAsia="Times New Roman" w:hAnsi="Times New Roman" w:cs="Times New Roman"/>
          <w:color w:val="000000"/>
          <w:kern w:val="2"/>
          <w:szCs w:val="24"/>
          <w14:ligatures w14:val="standardContextual"/>
        </w:rPr>
      </w:pPr>
      <w:r w:rsidRPr="007F68FC">
        <w:rPr>
          <w:rFonts w:ascii="Times New Roman" w:eastAsia="Times New Roman" w:hAnsi="Times New Roman" w:cs="Times New Roman"/>
          <w:color w:val="000000"/>
          <w:kern w:val="2"/>
          <w:szCs w:val="24"/>
          <w14:ligatures w14:val="standardContextual"/>
        </w:rPr>
        <w:t>The teamwork and collaboration dimension received the highest overall performance rating (M = 3.80). Employees reported strong willingness to collaborate in resolving team challenges (M = 3.84), actively contribute to team discussions (M = 3.83), and respect diverse opinions (M = 3.82). Knowledge sharing and maintaining positive relationships with colleagues were also strongly rated.</w:t>
      </w:r>
      <w:r>
        <w:rPr>
          <w:rFonts w:ascii="Times New Roman" w:eastAsia="Times New Roman" w:hAnsi="Times New Roman" w:cs="Times New Roman"/>
          <w:color w:val="000000"/>
          <w:kern w:val="2"/>
          <w:szCs w:val="24"/>
          <w14:ligatures w14:val="standardContextual"/>
        </w:rPr>
        <w:t xml:space="preserve"> </w:t>
      </w:r>
      <w:r w:rsidRPr="007F68FC">
        <w:rPr>
          <w:rFonts w:ascii="Times New Roman" w:eastAsia="Times New Roman" w:hAnsi="Times New Roman" w:cs="Times New Roman"/>
          <w:color w:val="000000"/>
          <w:kern w:val="2"/>
          <w:szCs w:val="24"/>
          <w14:ligatures w14:val="standardContextual"/>
        </w:rPr>
        <w:t>Effective teamwork requires communication, mutual support, and shared accountability (Salas et al., 2015). High-performing teams demonstrate trust, open communication, and a shared commitment to solving problems (Katzenbach &amp; Smith, 2006). Collaborative work environments therefore play a critical role in achieving organizational goals and improving service outcomes (Hackman, 2011).</w:t>
      </w:r>
    </w:p>
    <w:p w14:paraId="7A396EAD" w14:textId="77777777" w:rsidR="007F68FC" w:rsidRPr="007F68FC" w:rsidRDefault="007F68FC" w:rsidP="007F68FC">
      <w:pPr>
        <w:spacing w:after="5"/>
        <w:ind w:left="-5" w:hanging="10"/>
        <w:rPr>
          <w:rFonts w:ascii="Times New Roman" w:eastAsia="Times New Roman" w:hAnsi="Times New Roman" w:cs="Times New Roman"/>
          <w:color w:val="000000"/>
          <w:kern w:val="2"/>
          <w:szCs w:val="24"/>
          <w14:ligatures w14:val="standardContextual"/>
        </w:rPr>
      </w:pPr>
    </w:p>
    <w:p w14:paraId="0857C9BA" w14:textId="77777777" w:rsidR="007F68FC" w:rsidRPr="007F68FC" w:rsidRDefault="007F68FC" w:rsidP="007F68FC">
      <w:pPr>
        <w:spacing w:after="5"/>
        <w:ind w:left="-5" w:firstLine="725"/>
        <w:rPr>
          <w:rFonts w:ascii="Times New Roman" w:eastAsia="Times New Roman" w:hAnsi="Times New Roman" w:cs="Times New Roman"/>
          <w:b/>
          <w:bCs/>
          <w:color w:val="000000"/>
          <w:kern w:val="2"/>
          <w:szCs w:val="24"/>
          <w14:ligatures w14:val="standardContextual"/>
        </w:rPr>
      </w:pPr>
      <w:r w:rsidRPr="007F68FC">
        <w:rPr>
          <w:rFonts w:ascii="Times New Roman" w:eastAsia="Times New Roman" w:hAnsi="Times New Roman" w:cs="Times New Roman"/>
          <w:b/>
          <w:bCs/>
          <w:color w:val="000000"/>
          <w:kern w:val="2"/>
          <w:szCs w:val="24"/>
          <w14:ligatures w14:val="standardContextual"/>
        </w:rPr>
        <w:t>3.3.4 Adaptability and Problem-Solving</w:t>
      </w:r>
    </w:p>
    <w:p w14:paraId="2F7EDCCB" w14:textId="0A539AED" w:rsidR="007F68FC" w:rsidRPr="007F68FC" w:rsidRDefault="007F68FC" w:rsidP="007F68FC">
      <w:pPr>
        <w:spacing w:after="5"/>
        <w:rPr>
          <w:rFonts w:ascii="Times New Roman" w:eastAsia="Times New Roman" w:hAnsi="Times New Roman" w:cs="Times New Roman"/>
          <w:color w:val="000000"/>
          <w:kern w:val="2"/>
          <w:szCs w:val="24"/>
          <w14:ligatures w14:val="standardContextual"/>
        </w:rPr>
      </w:pPr>
      <w:r w:rsidRPr="007F68FC">
        <w:rPr>
          <w:rFonts w:ascii="Times New Roman" w:eastAsia="Times New Roman" w:hAnsi="Times New Roman" w:cs="Times New Roman"/>
          <w:color w:val="000000"/>
          <w:kern w:val="2"/>
          <w:szCs w:val="24"/>
          <w14:ligatures w14:val="standardContextual"/>
        </w:rPr>
        <w:t>Employees also demonstrated strong adaptability and problem-solving capabilities with an overall mean of 3.60. The highest rating was given to systematically analyzing problems before deciding on solutions (M = 3.68), followed by adjusting work approaches when new priorities arise (M = 3.63). Employees also reported adapting to procedural changes and generating alternative solutions to problems.</w:t>
      </w:r>
      <w:r>
        <w:rPr>
          <w:rFonts w:ascii="Times New Roman" w:eastAsia="Times New Roman" w:hAnsi="Times New Roman" w:cs="Times New Roman"/>
          <w:color w:val="000000"/>
          <w:kern w:val="2"/>
          <w:szCs w:val="24"/>
          <w14:ligatures w14:val="standardContextual"/>
        </w:rPr>
        <w:t xml:space="preserve"> </w:t>
      </w:r>
      <w:r w:rsidRPr="007F68FC">
        <w:rPr>
          <w:rFonts w:ascii="Times New Roman" w:eastAsia="Times New Roman" w:hAnsi="Times New Roman" w:cs="Times New Roman"/>
          <w:color w:val="000000"/>
          <w:kern w:val="2"/>
          <w:szCs w:val="24"/>
          <w14:ligatures w14:val="standardContextual"/>
        </w:rPr>
        <w:t>Adaptability is an essential competency in modern organizations, allowing employees to manage uncertainty and adjust to evolving work conditions (Pulakos et al., 2000). Effective problem-solving involves analytical thinking, creativity, and structured decision-making (Mumford et al., 2000). Employees who demonstrate resilience and flexibility contribute significantly to organizational innovation and productivity (Schmitt et al., 2003).</w:t>
      </w:r>
    </w:p>
    <w:p w14:paraId="30E9352F" w14:textId="77777777" w:rsidR="007F68FC" w:rsidRPr="007F68FC" w:rsidRDefault="007F68FC" w:rsidP="007F68FC">
      <w:pPr>
        <w:spacing w:after="5"/>
        <w:ind w:left="-5" w:hanging="10"/>
        <w:rPr>
          <w:rFonts w:ascii="Times New Roman" w:eastAsia="Times New Roman" w:hAnsi="Times New Roman" w:cs="Times New Roman"/>
          <w:color w:val="000000"/>
          <w:kern w:val="2"/>
          <w:szCs w:val="24"/>
          <w14:ligatures w14:val="standardContextual"/>
        </w:rPr>
      </w:pPr>
    </w:p>
    <w:p w14:paraId="7DAA12F4" w14:textId="77777777" w:rsidR="007F68FC" w:rsidRPr="007F68FC" w:rsidRDefault="007F68FC" w:rsidP="007F68FC">
      <w:pPr>
        <w:spacing w:after="5"/>
        <w:ind w:left="-5" w:hanging="10"/>
        <w:rPr>
          <w:rFonts w:ascii="Times New Roman" w:eastAsia="Times New Roman" w:hAnsi="Times New Roman" w:cs="Times New Roman"/>
          <w:b/>
          <w:bCs/>
          <w:color w:val="000000"/>
          <w:kern w:val="2"/>
          <w:szCs w:val="24"/>
          <w14:ligatures w14:val="standardContextual"/>
        </w:rPr>
      </w:pPr>
      <w:r w:rsidRPr="007F68FC">
        <w:rPr>
          <w:rFonts w:ascii="Times New Roman" w:eastAsia="Times New Roman" w:hAnsi="Times New Roman" w:cs="Times New Roman"/>
          <w:b/>
          <w:bCs/>
          <w:color w:val="000000"/>
          <w:kern w:val="2"/>
          <w:szCs w:val="24"/>
          <w14:ligatures w14:val="standardContextual"/>
        </w:rPr>
        <w:t>3.4 Relationship Between Learning Interventions and Employee Performance</w:t>
      </w:r>
    </w:p>
    <w:p w14:paraId="00A61467" w14:textId="77777777" w:rsidR="007F68FC" w:rsidRPr="007F68FC" w:rsidRDefault="007F68FC" w:rsidP="007F68FC">
      <w:pPr>
        <w:spacing w:after="5"/>
        <w:ind w:left="-5" w:firstLine="725"/>
        <w:rPr>
          <w:rFonts w:ascii="Times New Roman" w:eastAsia="Times New Roman" w:hAnsi="Times New Roman" w:cs="Times New Roman"/>
          <w:b/>
          <w:bCs/>
          <w:color w:val="000000"/>
          <w:kern w:val="2"/>
          <w:szCs w:val="24"/>
          <w14:ligatures w14:val="standardContextual"/>
        </w:rPr>
      </w:pPr>
      <w:r w:rsidRPr="007F68FC">
        <w:rPr>
          <w:rFonts w:ascii="Times New Roman" w:eastAsia="Times New Roman" w:hAnsi="Times New Roman" w:cs="Times New Roman"/>
          <w:b/>
          <w:bCs/>
          <w:color w:val="000000"/>
          <w:kern w:val="2"/>
          <w:szCs w:val="24"/>
          <w14:ligatures w14:val="standardContextual"/>
        </w:rPr>
        <w:t>3.4.1 Learning Interventions and Work Quality</w:t>
      </w:r>
    </w:p>
    <w:p w14:paraId="4EBBC398" w14:textId="5F37D1C9" w:rsidR="007F68FC" w:rsidRPr="007F68FC" w:rsidRDefault="007F68FC" w:rsidP="007F68FC">
      <w:pPr>
        <w:spacing w:after="5"/>
        <w:rPr>
          <w:rFonts w:ascii="Times New Roman" w:eastAsia="Times New Roman" w:hAnsi="Times New Roman" w:cs="Times New Roman"/>
          <w:color w:val="000000"/>
          <w:kern w:val="2"/>
          <w:szCs w:val="24"/>
          <w14:ligatures w14:val="standardContextual"/>
        </w:rPr>
      </w:pPr>
      <w:r w:rsidRPr="007F68FC">
        <w:rPr>
          <w:rFonts w:ascii="Times New Roman" w:eastAsia="Times New Roman" w:hAnsi="Times New Roman" w:cs="Times New Roman"/>
          <w:color w:val="000000"/>
          <w:kern w:val="2"/>
          <w:szCs w:val="24"/>
          <w14:ligatures w14:val="standardContextual"/>
        </w:rPr>
        <w:t>A statistically significant relationship was observed between learning interventions and work quality, with an overall moderate correlation (r = 0.570, p = 0.0001). Individual dimensions of learning interventions showed weak to moderate correlations with work quality, with the results dimension showing the strongest association.</w:t>
      </w:r>
      <w:r>
        <w:rPr>
          <w:rFonts w:ascii="Times New Roman" w:eastAsia="Times New Roman" w:hAnsi="Times New Roman" w:cs="Times New Roman"/>
          <w:color w:val="000000"/>
          <w:kern w:val="2"/>
          <w:szCs w:val="24"/>
          <w14:ligatures w14:val="standardContextual"/>
        </w:rPr>
        <w:t xml:space="preserve"> </w:t>
      </w:r>
      <w:r w:rsidRPr="007F68FC">
        <w:rPr>
          <w:rFonts w:ascii="Times New Roman" w:eastAsia="Times New Roman" w:hAnsi="Times New Roman" w:cs="Times New Roman"/>
          <w:color w:val="000000"/>
          <w:kern w:val="2"/>
          <w:szCs w:val="24"/>
          <w14:ligatures w14:val="standardContextual"/>
        </w:rPr>
        <w:t>These findings indicate that effective training programs contribute to improved work accuracy, thoroughness, and performance standards. Positive trainee reactions, learning acquisition, behavioral application, and organizational outcomes collectively enhance employee performance (Kirkpatrick &amp; Kirkpatrick, 2006). Training programs aligned with organizational objectives are known to produce measurable improvements in work quality (Aguinis &amp; Kraiger, 2009; Salas et al., 2012).</w:t>
      </w:r>
    </w:p>
    <w:p w14:paraId="144B7F8E" w14:textId="77777777" w:rsidR="007F68FC" w:rsidRPr="007F68FC" w:rsidRDefault="007F68FC" w:rsidP="007F68FC">
      <w:pPr>
        <w:spacing w:after="5"/>
        <w:ind w:left="-5" w:hanging="10"/>
        <w:rPr>
          <w:rFonts w:ascii="Times New Roman" w:eastAsia="Times New Roman" w:hAnsi="Times New Roman" w:cs="Times New Roman"/>
          <w:color w:val="000000"/>
          <w:kern w:val="2"/>
          <w:szCs w:val="24"/>
          <w14:ligatures w14:val="standardContextual"/>
        </w:rPr>
      </w:pPr>
    </w:p>
    <w:p w14:paraId="2F691C31" w14:textId="77777777" w:rsidR="007F68FC" w:rsidRPr="007F68FC" w:rsidRDefault="007F68FC" w:rsidP="007F68FC">
      <w:pPr>
        <w:spacing w:after="5"/>
        <w:ind w:left="-5" w:firstLine="725"/>
        <w:rPr>
          <w:rFonts w:ascii="Times New Roman" w:eastAsia="Times New Roman" w:hAnsi="Times New Roman" w:cs="Times New Roman"/>
          <w:b/>
          <w:bCs/>
          <w:color w:val="000000"/>
          <w:kern w:val="2"/>
          <w:szCs w:val="24"/>
          <w14:ligatures w14:val="standardContextual"/>
        </w:rPr>
      </w:pPr>
      <w:r w:rsidRPr="007F68FC">
        <w:rPr>
          <w:rFonts w:ascii="Times New Roman" w:eastAsia="Times New Roman" w:hAnsi="Times New Roman" w:cs="Times New Roman"/>
          <w:b/>
          <w:bCs/>
          <w:color w:val="000000"/>
          <w:kern w:val="2"/>
          <w:szCs w:val="24"/>
          <w14:ligatures w14:val="standardContextual"/>
        </w:rPr>
        <w:t>3.4.2 Learning Interventions and Work Efficiency</w:t>
      </w:r>
    </w:p>
    <w:p w14:paraId="44894189" w14:textId="463AA6BC" w:rsidR="007F68FC" w:rsidRPr="007F68FC" w:rsidRDefault="007F68FC" w:rsidP="007F68FC">
      <w:pPr>
        <w:spacing w:after="5"/>
        <w:rPr>
          <w:rFonts w:ascii="Times New Roman" w:eastAsia="Times New Roman" w:hAnsi="Times New Roman" w:cs="Times New Roman"/>
          <w:color w:val="000000"/>
          <w:kern w:val="2"/>
          <w:szCs w:val="24"/>
          <w14:ligatures w14:val="standardContextual"/>
        </w:rPr>
      </w:pPr>
      <w:r w:rsidRPr="007F68FC">
        <w:rPr>
          <w:rFonts w:ascii="Times New Roman" w:eastAsia="Times New Roman" w:hAnsi="Times New Roman" w:cs="Times New Roman"/>
          <w:color w:val="000000"/>
          <w:kern w:val="2"/>
          <w:szCs w:val="24"/>
          <w14:ligatures w14:val="standardContextual"/>
        </w:rPr>
        <w:t>Learning interventions also demonstrated a significant relationship with work efficiency (r = 0.421, p = 0.0001), although the correlations were relatively weak across individual dimensions.</w:t>
      </w:r>
      <w:r>
        <w:rPr>
          <w:rFonts w:ascii="Times New Roman" w:eastAsia="Times New Roman" w:hAnsi="Times New Roman" w:cs="Times New Roman"/>
          <w:color w:val="000000"/>
          <w:kern w:val="2"/>
          <w:szCs w:val="24"/>
          <w14:ligatures w14:val="standardContextual"/>
        </w:rPr>
        <w:t xml:space="preserve"> </w:t>
      </w:r>
      <w:r w:rsidRPr="007F68FC">
        <w:rPr>
          <w:rFonts w:ascii="Times New Roman" w:eastAsia="Times New Roman" w:hAnsi="Times New Roman" w:cs="Times New Roman"/>
          <w:color w:val="000000"/>
          <w:kern w:val="2"/>
          <w:szCs w:val="24"/>
          <w14:ligatures w14:val="standardContextual"/>
        </w:rPr>
        <w:t>These findings suggest that training contributes to improved task management, productivity, and time utilization, although other factors such as organizational support and individual capabilities also influence efficiency outcomes. Previous research confirms that training programs improve employee productivity and time management, even when the statistical relationships are modest (Aguinis &amp; Kraiger, 2009; Salas et al., 2012).</w:t>
      </w:r>
    </w:p>
    <w:p w14:paraId="60A40128" w14:textId="5FF328A9" w:rsidR="007F68FC" w:rsidRPr="007F68FC" w:rsidRDefault="007F68FC" w:rsidP="007F68FC">
      <w:pPr>
        <w:spacing w:after="5"/>
        <w:ind w:left="-5" w:hanging="10"/>
        <w:rPr>
          <w:rFonts w:ascii="Times New Roman" w:eastAsia="Times New Roman" w:hAnsi="Times New Roman" w:cs="Times New Roman"/>
          <w:color w:val="000000"/>
          <w:kern w:val="2"/>
          <w:szCs w:val="24"/>
          <w14:ligatures w14:val="standardContextual"/>
        </w:rPr>
      </w:pPr>
      <w:r>
        <w:rPr>
          <w:rFonts w:ascii="Times New Roman" w:eastAsia="Times New Roman" w:hAnsi="Times New Roman" w:cs="Times New Roman"/>
          <w:color w:val="000000"/>
          <w:kern w:val="2"/>
          <w:szCs w:val="24"/>
          <w14:ligatures w14:val="standardContextual"/>
        </w:rPr>
        <w:tab/>
      </w:r>
      <w:r>
        <w:rPr>
          <w:rFonts w:ascii="Times New Roman" w:eastAsia="Times New Roman" w:hAnsi="Times New Roman" w:cs="Times New Roman"/>
          <w:color w:val="000000"/>
          <w:kern w:val="2"/>
          <w:szCs w:val="24"/>
          <w14:ligatures w14:val="standardContextual"/>
        </w:rPr>
        <w:tab/>
      </w:r>
    </w:p>
    <w:p w14:paraId="0ECD33F3" w14:textId="77777777" w:rsidR="007F68FC" w:rsidRPr="007F68FC" w:rsidRDefault="007F68FC" w:rsidP="007F68FC">
      <w:pPr>
        <w:spacing w:after="5"/>
        <w:ind w:left="-5" w:firstLine="725"/>
        <w:rPr>
          <w:rFonts w:ascii="Times New Roman" w:eastAsia="Times New Roman" w:hAnsi="Times New Roman" w:cs="Times New Roman"/>
          <w:b/>
          <w:bCs/>
          <w:color w:val="000000"/>
          <w:kern w:val="2"/>
          <w:szCs w:val="24"/>
          <w14:ligatures w14:val="standardContextual"/>
        </w:rPr>
      </w:pPr>
      <w:r w:rsidRPr="007F68FC">
        <w:rPr>
          <w:rFonts w:ascii="Times New Roman" w:eastAsia="Times New Roman" w:hAnsi="Times New Roman" w:cs="Times New Roman"/>
          <w:b/>
          <w:bCs/>
          <w:color w:val="000000"/>
          <w:kern w:val="2"/>
          <w:szCs w:val="24"/>
          <w14:ligatures w14:val="standardContextual"/>
        </w:rPr>
        <w:t>3.4.3 Learning Interventions and Teamwork</w:t>
      </w:r>
    </w:p>
    <w:p w14:paraId="0BCBDE11" w14:textId="59F91A13" w:rsidR="007F68FC" w:rsidRPr="007F68FC" w:rsidRDefault="007F68FC" w:rsidP="007F68FC">
      <w:pPr>
        <w:spacing w:after="5"/>
        <w:rPr>
          <w:rFonts w:ascii="Times New Roman" w:eastAsia="Times New Roman" w:hAnsi="Times New Roman" w:cs="Times New Roman"/>
          <w:color w:val="000000"/>
          <w:kern w:val="2"/>
          <w:szCs w:val="24"/>
          <w14:ligatures w14:val="standardContextual"/>
        </w:rPr>
      </w:pPr>
      <w:r w:rsidRPr="007F68FC">
        <w:rPr>
          <w:rFonts w:ascii="Times New Roman" w:eastAsia="Times New Roman" w:hAnsi="Times New Roman" w:cs="Times New Roman"/>
          <w:color w:val="000000"/>
          <w:kern w:val="2"/>
          <w:szCs w:val="24"/>
          <w14:ligatures w14:val="standardContextual"/>
        </w:rPr>
        <w:t>A significant relationship was also observed between learning interventions and teamwork performance (r = 0.426, p = 0.0001).</w:t>
      </w:r>
      <w:r>
        <w:rPr>
          <w:rFonts w:ascii="Times New Roman" w:eastAsia="Times New Roman" w:hAnsi="Times New Roman" w:cs="Times New Roman"/>
          <w:color w:val="000000"/>
          <w:kern w:val="2"/>
          <w:szCs w:val="24"/>
          <w14:ligatures w14:val="standardContextual"/>
        </w:rPr>
        <w:t xml:space="preserve"> </w:t>
      </w:r>
      <w:r w:rsidRPr="007F68FC">
        <w:rPr>
          <w:rFonts w:ascii="Times New Roman" w:eastAsia="Times New Roman" w:hAnsi="Times New Roman" w:cs="Times New Roman"/>
          <w:color w:val="000000"/>
          <w:kern w:val="2"/>
          <w:szCs w:val="24"/>
          <w14:ligatures w14:val="standardContextual"/>
        </w:rPr>
        <w:t>Training programs that enhance communication, collaboration, and interpersonal skills encourage stronger teamwork behaviors. Positive training experiences promote team commitment and social interaction among employees (Saks, 2006), while learning-oriented environments improve psychological safety and team collaboration (Edmondson, 2012). Behavioral training interventions are also known to improve team functioning and collective performance (Kozlowski &amp; Ilgen, 2006).</w:t>
      </w:r>
    </w:p>
    <w:p w14:paraId="2712DE63" w14:textId="77777777" w:rsidR="007F68FC" w:rsidRPr="007F68FC" w:rsidRDefault="007F68FC" w:rsidP="007F68FC">
      <w:pPr>
        <w:spacing w:after="5"/>
        <w:ind w:left="-5" w:hanging="10"/>
        <w:rPr>
          <w:rFonts w:ascii="Times New Roman" w:eastAsia="Times New Roman" w:hAnsi="Times New Roman" w:cs="Times New Roman"/>
          <w:color w:val="000000"/>
          <w:kern w:val="2"/>
          <w:szCs w:val="24"/>
          <w14:ligatures w14:val="standardContextual"/>
        </w:rPr>
      </w:pPr>
    </w:p>
    <w:p w14:paraId="19EA35E3" w14:textId="77777777" w:rsidR="007F68FC" w:rsidRPr="007F68FC" w:rsidRDefault="007F68FC" w:rsidP="007F68FC">
      <w:pPr>
        <w:spacing w:after="5"/>
        <w:ind w:left="-5" w:firstLine="725"/>
        <w:rPr>
          <w:rFonts w:ascii="Times New Roman" w:eastAsia="Times New Roman" w:hAnsi="Times New Roman" w:cs="Times New Roman"/>
          <w:b/>
          <w:bCs/>
          <w:color w:val="000000"/>
          <w:kern w:val="2"/>
          <w:szCs w:val="24"/>
          <w14:ligatures w14:val="standardContextual"/>
        </w:rPr>
      </w:pPr>
      <w:r w:rsidRPr="007F68FC">
        <w:rPr>
          <w:rFonts w:ascii="Times New Roman" w:eastAsia="Times New Roman" w:hAnsi="Times New Roman" w:cs="Times New Roman"/>
          <w:b/>
          <w:bCs/>
          <w:color w:val="000000"/>
          <w:kern w:val="2"/>
          <w:szCs w:val="24"/>
          <w14:ligatures w14:val="standardContextual"/>
        </w:rPr>
        <w:t>3.4.4 Learning Interventions and Adaptability</w:t>
      </w:r>
    </w:p>
    <w:p w14:paraId="7A43DAAF" w14:textId="3B2C6F5D" w:rsidR="007F68FC" w:rsidRPr="007F68FC" w:rsidRDefault="007F68FC" w:rsidP="007F68FC">
      <w:pPr>
        <w:spacing w:after="5"/>
        <w:rPr>
          <w:rFonts w:ascii="Times New Roman" w:eastAsia="Times New Roman" w:hAnsi="Times New Roman" w:cs="Times New Roman"/>
          <w:color w:val="000000"/>
          <w:kern w:val="2"/>
          <w:szCs w:val="24"/>
          <w14:ligatures w14:val="standardContextual"/>
        </w:rPr>
      </w:pPr>
      <w:r w:rsidRPr="007F68FC">
        <w:rPr>
          <w:rFonts w:ascii="Times New Roman" w:eastAsia="Times New Roman" w:hAnsi="Times New Roman" w:cs="Times New Roman"/>
          <w:color w:val="000000"/>
          <w:kern w:val="2"/>
          <w:szCs w:val="24"/>
          <w14:ligatures w14:val="standardContextual"/>
        </w:rPr>
        <w:t>Learning interventions demonstrated a moderate and significant relationship with adaptability and problem-solving performance (r = 0.523, p = 0.0001).</w:t>
      </w:r>
      <w:r>
        <w:rPr>
          <w:rFonts w:ascii="Times New Roman" w:eastAsia="Times New Roman" w:hAnsi="Times New Roman" w:cs="Times New Roman"/>
          <w:color w:val="000000"/>
          <w:kern w:val="2"/>
          <w:szCs w:val="24"/>
          <w14:ligatures w14:val="standardContextual"/>
        </w:rPr>
        <w:t xml:space="preserve"> </w:t>
      </w:r>
      <w:r w:rsidRPr="007F68FC">
        <w:rPr>
          <w:rFonts w:ascii="Times New Roman" w:eastAsia="Times New Roman" w:hAnsi="Times New Roman" w:cs="Times New Roman"/>
          <w:color w:val="000000"/>
          <w:kern w:val="2"/>
          <w:szCs w:val="24"/>
          <w14:ligatures w14:val="standardContextual"/>
        </w:rPr>
        <w:t>Training programs that enhance cognitive skills, emotional resilience, and analytical thinking improve employees’ ability to respond to organizational change. Positive learning experiences encourage cognitive flexibility and broaden problem-solving capacity (Fredrickson, 2001). Experiential learning processes further strengthen adaptive capabilities and practical decision-making skills (Kolb, 2015). Emotional intelligence competencies such as self-awareness and self-regulation also support adaptability in dynamic work environments (Goleman, 2013).</w:t>
      </w:r>
    </w:p>
    <w:p w14:paraId="18295693" w14:textId="77777777" w:rsidR="007F68FC" w:rsidRPr="007F68FC" w:rsidRDefault="007F68FC" w:rsidP="007F68FC">
      <w:pPr>
        <w:spacing w:after="5"/>
        <w:ind w:left="-5" w:hanging="10"/>
        <w:rPr>
          <w:rFonts w:ascii="Times New Roman" w:eastAsia="Times New Roman" w:hAnsi="Times New Roman" w:cs="Times New Roman"/>
          <w:color w:val="000000"/>
          <w:kern w:val="2"/>
          <w:szCs w:val="24"/>
          <w14:ligatures w14:val="standardContextual"/>
        </w:rPr>
      </w:pPr>
    </w:p>
    <w:p w14:paraId="04EB0791" w14:textId="77777777" w:rsidR="007F68FC" w:rsidRPr="007F68FC" w:rsidRDefault="007F68FC" w:rsidP="007F68FC">
      <w:pPr>
        <w:spacing w:after="5"/>
        <w:ind w:left="-5" w:firstLine="725"/>
        <w:rPr>
          <w:rFonts w:ascii="Times New Roman" w:eastAsia="Times New Roman" w:hAnsi="Times New Roman" w:cs="Times New Roman"/>
          <w:b/>
          <w:bCs/>
          <w:color w:val="000000"/>
          <w:kern w:val="2"/>
          <w:szCs w:val="24"/>
          <w14:ligatures w14:val="standardContextual"/>
        </w:rPr>
      </w:pPr>
      <w:r w:rsidRPr="007F68FC">
        <w:rPr>
          <w:rFonts w:ascii="Times New Roman" w:eastAsia="Times New Roman" w:hAnsi="Times New Roman" w:cs="Times New Roman"/>
          <w:b/>
          <w:bCs/>
          <w:color w:val="000000"/>
          <w:kern w:val="2"/>
          <w:szCs w:val="24"/>
          <w14:ligatures w14:val="standardContextual"/>
        </w:rPr>
        <w:t>3.4.5 Overall Relationship Between Learning Interventions and Performance</w:t>
      </w:r>
    </w:p>
    <w:p w14:paraId="6610E9B6" w14:textId="00A90D87" w:rsidR="007F68FC" w:rsidRPr="007F68FC" w:rsidRDefault="007F68FC" w:rsidP="007F68FC">
      <w:pPr>
        <w:spacing w:after="5"/>
        <w:rPr>
          <w:rFonts w:ascii="Times New Roman" w:eastAsia="Times New Roman" w:hAnsi="Times New Roman" w:cs="Times New Roman"/>
          <w:color w:val="000000"/>
          <w:kern w:val="2"/>
          <w:szCs w:val="24"/>
          <w14:ligatures w14:val="standardContextual"/>
        </w:rPr>
      </w:pPr>
      <w:r w:rsidRPr="007F68FC">
        <w:rPr>
          <w:rFonts w:ascii="Times New Roman" w:eastAsia="Times New Roman" w:hAnsi="Times New Roman" w:cs="Times New Roman"/>
          <w:color w:val="000000"/>
          <w:kern w:val="2"/>
          <w:szCs w:val="24"/>
          <w14:ligatures w14:val="standardContextual"/>
        </w:rPr>
        <w:t>The overall correlation between learning interventions and employee performance was moderate and statistically significant (r = 0.650, p = 0.0001).</w:t>
      </w:r>
      <w:r>
        <w:rPr>
          <w:rFonts w:ascii="Times New Roman" w:eastAsia="Times New Roman" w:hAnsi="Times New Roman" w:cs="Times New Roman"/>
          <w:color w:val="000000"/>
          <w:kern w:val="2"/>
          <w:szCs w:val="24"/>
          <w14:ligatures w14:val="standardContextual"/>
        </w:rPr>
        <w:t xml:space="preserve"> </w:t>
      </w:r>
      <w:r w:rsidRPr="007F68FC">
        <w:rPr>
          <w:rFonts w:ascii="Times New Roman" w:eastAsia="Times New Roman" w:hAnsi="Times New Roman" w:cs="Times New Roman"/>
          <w:color w:val="000000"/>
          <w:kern w:val="2"/>
          <w:szCs w:val="24"/>
          <w14:ligatures w14:val="standardContextual"/>
        </w:rPr>
        <w:t>This finding confirms that well-structured training programs significantly contribute to improvements in work quality, efficiency, teamwork, adaptability, and problem-solving abilities. The results reinforce the relevance of Kirkpatrick’s Four-Level Training Evaluation Model, which emphasizes that effective training enhances employee competencies, influences workplace behavior, and ultimately improves organizational performance (Kirkpatrick &amp; Kirkpatrick, 2006).</w:t>
      </w:r>
    </w:p>
    <w:p w14:paraId="31E2D2F8" w14:textId="77777777" w:rsidR="007F68FC" w:rsidRPr="007F68FC" w:rsidRDefault="007F68FC" w:rsidP="007F68FC">
      <w:pPr>
        <w:spacing w:after="5"/>
        <w:ind w:left="-5" w:hanging="10"/>
        <w:rPr>
          <w:rFonts w:ascii="Times New Roman" w:eastAsia="Times New Roman" w:hAnsi="Times New Roman" w:cs="Times New Roman"/>
          <w:color w:val="000000"/>
          <w:kern w:val="2"/>
          <w:szCs w:val="24"/>
          <w14:ligatures w14:val="standardContextual"/>
        </w:rPr>
      </w:pPr>
    </w:p>
    <w:p w14:paraId="65C4447D" w14:textId="77777777" w:rsidR="007F68FC" w:rsidRPr="007F68FC" w:rsidRDefault="007F68FC" w:rsidP="007F68FC">
      <w:pPr>
        <w:spacing w:after="5"/>
        <w:ind w:left="-5" w:hanging="10"/>
        <w:rPr>
          <w:rFonts w:ascii="Times New Roman" w:eastAsia="Times New Roman" w:hAnsi="Times New Roman" w:cs="Times New Roman"/>
          <w:b/>
          <w:bCs/>
          <w:color w:val="000000"/>
          <w:kern w:val="2"/>
          <w:szCs w:val="24"/>
          <w14:ligatures w14:val="standardContextual"/>
        </w:rPr>
      </w:pPr>
      <w:r w:rsidRPr="007F68FC">
        <w:rPr>
          <w:rFonts w:ascii="Times New Roman" w:eastAsia="Times New Roman" w:hAnsi="Times New Roman" w:cs="Times New Roman"/>
          <w:b/>
          <w:bCs/>
          <w:color w:val="000000"/>
          <w:kern w:val="2"/>
          <w:szCs w:val="24"/>
          <w14:ligatures w14:val="standardContextual"/>
        </w:rPr>
        <w:t>3.5 Recommended Learning Intervention Strategies</w:t>
      </w:r>
    </w:p>
    <w:p w14:paraId="78454F7F" w14:textId="4C93AAAD" w:rsidR="007F68FC" w:rsidRPr="007F68FC" w:rsidRDefault="007F68FC" w:rsidP="007F68FC">
      <w:pPr>
        <w:spacing w:after="5"/>
        <w:rPr>
          <w:rFonts w:ascii="Times New Roman" w:eastAsia="Times New Roman" w:hAnsi="Times New Roman" w:cs="Times New Roman"/>
          <w:color w:val="000000"/>
          <w:kern w:val="2"/>
          <w:szCs w:val="24"/>
          <w14:ligatures w14:val="standardContextual"/>
        </w:rPr>
      </w:pPr>
      <w:r w:rsidRPr="007F68FC">
        <w:rPr>
          <w:rFonts w:ascii="Times New Roman" w:eastAsia="Times New Roman" w:hAnsi="Times New Roman" w:cs="Times New Roman"/>
          <w:color w:val="000000"/>
          <w:kern w:val="2"/>
          <w:szCs w:val="24"/>
          <w14:ligatures w14:val="standardContextual"/>
        </w:rPr>
        <w:t>Respondents strongly supported the implementation of several learning intervention strategies, with an overall mean of 3.72 indicating that these initiatives were highly recommended.</w:t>
      </w:r>
      <w:r>
        <w:rPr>
          <w:rFonts w:ascii="Times New Roman" w:eastAsia="Times New Roman" w:hAnsi="Times New Roman" w:cs="Times New Roman"/>
          <w:color w:val="000000"/>
          <w:kern w:val="2"/>
          <w:szCs w:val="24"/>
          <w14:ligatures w14:val="standardContextual"/>
        </w:rPr>
        <w:t xml:space="preserve"> </w:t>
      </w:r>
      <w:r w:rsidRPr="007F68FC">
        <w:rPr>
          <w:rFonts w:ascii="Times New Roman" w:eastAsia="Times New Roman" w:hAnsi="Times New Roman" w:cs="Times New Roman"/>
          <w:color w:val="000000"/>
          <w:kern w:val="2"/>
          <w:szCs w:val="24"/>
          <w14:ligatures w14:val="standardContextual"/>
        </w:rPr>
        <w:t>Digital skills enhancement training received the highest rating, reflecting the growing importance of technological competence in organizational operations. Customer service excellence training and communication workshops were also strongly recommended, emphasizing the importance of interpersonal communication and client engagement. Management skills training and leadership development programs were likewise highly supported, highlighting the need for effective supervision and strategic decision-making.</w:t>
      </w:r>
      <w:r>
        <w:rPr>
          <w:rFonts w:ascii="Times New Roman" w:eastAsia="Times New Roman" w:hAnsi="Times New Roman" w:cs="Times New Roman"/>
          <w:color w:val="000000"/>
          <w:kern w:val="2"/>
          <w:szCs w:val="24"/>
          <w14:ligatures w14:val="standardContextual"/>
        </w:rPr>
        <w:t xml:space="preserve"> </w:t>
      </w:r>
      <w:r w:rsidRPr="007F68FC">
        <w:rPr>
          <w:rFonts w:ascii="Times New Roman" w:eastAsia="Times New Roman" w:hAnsi="Times New Roman" w:cs="Times New Roman"/>
          <w:color w:val="000000"/>
          <w:kern w:val="2"/>
          <w:szCs w:val="24"/>
          <w14:ligatures w14:val="standardContextual"/>
        </w:rPr>
        <w:t>These findings align with contemporary research emphasizing digital literacy, leadership development, communication skills, and employee well-being as key drivers of organizational effectiveness (Noe, 2020; Salas et al., 2012). Mental health and well-being programs also contribute to employee resilience and workplace satisfaction (Harvey et al., 2017), while coaching and mentoring initiatives facilitate knowledge transfer and professional growth (Day et al., 2014).</w:t>
      </w:r>
    </w:p>
    <w:p w14:paraId="1607C1DC" w14:textId="77777777" w:rsidR="007F68FC" w:rsidRPr="007F68FC" w:rsidRDefault="007F68FC" w:rsidP="007F68FC">
      <w:pPr>
        <w:spacing w:after="5"/>
        <w:ind w:left="-5" w:hanging="10"/>
        <w:rPr>
          <w:rFonts w:ascii="Times New Roman" w:eastAsia="Times New Roman" w:hAnsi="Times New Roman" w:cs="Times New Roman"/>
          <w:color w:val="000000"/>
          <w:kern w:val="2"/>
          <w:szCs w:val="24"/>
          <w14:ligatures w14:val="standardContextual"/>
        </w:rPr>
      </w:pPr>
    </w:p>
    <w:p w14:paraId="42A4DF2D" w14:textId="77777777" w:rsidR="007F68FC" w:rsidRPr="007F68FC" w:rsidRDefault="007F68FC" w:rsidP="007F68FC">
      <w:pPr>
        <w:spacing w:after="5"/>
        <w:ind w:left="-5" w:hanging="10"/>
        <w:rPr>
          <w:rFonts w:ascii="Times New Roman" w:eastAsia="Times New Roman" w:hAnsi="Times New Roman" w:cs="Times New Roman"/>
          <w:b/>
          <w:bCs/>
          <w:color w:val="000000"/>
          <w:kern w:val="2"/>
          <w:szCs w:val="24"/>
          <w14:ligatures w14:val="standardContextual"/>
        </w:rPr>
      </w:pPr>
      <w:r w:rsidRPr="007F68FC">
        <w:rPr>
          <w:rFonts w:ascii="Times New Roman" w:eastAsia="Times New Roman" w:hAnsi="Times New Roman" w:cs="Times New Roman"/>
          <w:b/>
          <w:bCs/>
          <w:color w:val="000000"/>
          <w:kern w:val="2"/>
          <w:szCs w:val="24"/>
          <w14:ligatures w14:val="standardContextual"/>
        </w:rPr>
        <w:t>3.6 Qualitative Insights from Key Informant Interviews</w:t>
      </w:r>
    </w:p>
    <w:p w14:paraId="63FA567D" w14:textId="0E3BEA65" w:rsidR="007F68FC" w:rsidRDefault="007F68FC" w:rsidP="007F68FC">
      <w:pPr>
        <w:spacing w:after="5"/>
        <w:rPr>
          <w:rFonts w:ascii="Times New Roman" w:eastAsia="Times New Roman" w:hAnsi="Times New Roman" w:cs="Times New Roman"/>
          <w:color w:val="000000"/>
          <w:kern w:val="2"/>
          <w:szCs w:val="24"/>
          <w14:ligatures w14:val="standardContextual"/>
        </w:rPr>
      </w:pPr>
      <w:r w:rsidRPr="007F68FC">
        <w:rPr>
          <w:rFonts w:ascii="Times New Roman" w:eastAsia="Times New Roman" w:hAnsi="Times New Roman" w:cs="Times New Roman"/>
          <w:color w:val="000000"/>
          <w:kern w:val="2"/>
          <w:szCs w:val="24"/>
          <w14:ligatures w14:val="standardContextual"/>
        </w:rPr>
        <w:t>Thematic analysis of key informant interviews identified four major themes: leadership-driven planning of learning interventions, operational constraints affecting training participation, positive learning engagement and behavioral impact, and the need for strategic enhancement of future training programs.</w:t>
      </w:r>
      <w:r>
        <w:rPr>
          <w:rFonts w:ascii="Times New Roman" w:eastAsia="Times New Roman" w:hAnsi="Times New Roman" w:cs="Times New Roman"/>
          <w:color w:val="000000"/>
          <w:kern w:val="2"/>
          <w:szCs w:val="24"/>
          <w14:ligatures w14:val="standardContextual"/>
        </w:rPr>
        <w:t xml:space="preserve"> </w:t>
      </w:r>
      <w:r w:rsidRPr="007F68FC">
        <w:rPr>
          <w:rFonts w:ascii="Times New Roman" w:eastAsia="Times New Roman" w:hAnsi="Times New Roman" w:cs="Times New Roman"/>
          <w:color w:val="000000"/>
          <w:kern w:val="2"/>
          <w:szCs w:val="24"/>
          <w14:ligatures w14:val="standardContextual"/>
        </w:rPr>
        <w:t>Leadership involvement plays a critical role in identifying training needs and facilitating employee development. Supervisors and division heads evaluate staff competencies and recommend training programs aligned with organizational priorities. This reflects the principles of Human Capital Theory, which emphasizes the importance of investing in employee development to enhance organizational capability (Becker, 1993).</w:t>
      </w:r>
      <w:r>
        <w:rPr>
          <w:rFonts w:ascii="Times New Roman" w:eastAsia="Times New Roman" w:hAnsi="Times New Roman" w:cs="Times New Roman"/>
          <w:color w:val="000000"/>
          <w:kern w:val="2"/>
          <w:szCs w:val="24"/>
          <w14:ligatures w14:val="standardContextual"/>
        </w:rPr>
        <w:t xml:space="preserve"> </w:t>
      </w:r>
      <w:r w:rsidRPr="007F68FC">
        <w:rPr>
          <w:rFonts w:ascii="Times New Roman" w:eastAsia="Times New Roman" w:hAnsi="Times New Roman" w:cs="Times New Roman"/>
          <w:color w:val="000000"/>
          <w:kern w:val="2"/>
          <w:szCs w:val="24"/>
          <w14:ligatures w14:val="standardContextual"/>
        </w:rPr>
        <w:t>However, several constraints were also identified, including limited resources, budget restrictions, heavy workload, and operational demands. Such challenges are commonly reported in public sector training programs where institutional limitations affect learning participation (Nor, 2025; Besana et al., 2025).</w:t>
      </w:r>
      <w:r>
        <w:rPr>
          <w:rFonts w:ascii="Times New Roman" w:eastAsia="Times New Roman" w:hAnsi="Times New Roman" w:cs="Times New Roman"/>
          <w:color w:val="000000"/>
          <w:kern w:val="2"/>
          <w:szCs w:val="24"/>
          <w14:ligatures w14:val="standardContextual"/>
        </w:rPr>
        <w:t xml:space="preserve"> </w:t>
      </w:r>
      <w:r w:rsidRPr="007F68FC">
        <w:rPr>
          <w:rFonts w:ascii="Times New Roman" w:eastAsia="Times New Roman" w:hAnsi="Times New Roman" w:cs="Times New Roman"/>
          <w:color w:val="000000"/>
          <w:kern w:val="2"/>
          <w:szCs w:val="24"/>
          <w14:ligatures w14:val="standardContextual"/>
        </w:rPr>
        <w:t>Despite these challenges, employees demonstrated strong engagement in training programs and applied acquired skills in workplace activities. Interview participants reported improvements in service delivery, communication, and operational efficiency, supporting the behavioral and results levels of Kirkpatrick’s training evaluation model (Kirkpatrick &amp; Kirkpatrick, 2006).</w:t>
      </w:r>
      <w:r>
        <w:rPr>
          <w:rFonts w:ascii="Times New Roman" w:eastAsia="Times New Roman" w:hAnsi="Times New Roman" w:cs="Times New Roman"/>
          <w:color w:val="000000"/>
          <w:kern w:val="2"/>
          <w:szCs w:val="24"/>
          <w14:ligatures w14:val="standardContextual"/>
        </w:rPr>
        <w:t xml:space="preserve"> </w:t>
      </w:r>
      <w:r w:rsidRPr="007F68FC">
        <w:rPr>
          <w:rFonts w:ascii="Times New Roman" w:eastAsia="Times New Roman" w:hAnsi="Times New Roman" w:cs="Times New Roman"/>
          <w:color w:val="000000"/>
          <w:kern w:val="2"/>
          <w:szCs w:val="24"/>
          <w14:ligatures w14:val="standardContextual"/>
        </w:rPr>
        <w:t>Finally, key informants emphasized the need for more strategic and future-oriented learning initiatives. Recommendations included systematic training needs assessment, stronger mentoring systems, increased training resources, and greater emphasis on digital literacy, leadership development, and customer service competencies. These suggestions align with contemporary public sector learning models that advocate continuous and adaptive workforce development (Oko-Joseph, 2025; Umar et al., 2020).</w:t>
      </w:r>
    </w:p>
    <w:p w14:paraId="25453B8C" w14:textId="77777777" w:rsidR="007F68FC" w:rsidRDefault="007F68FC" w:rsidP="0002171C">
      <w:pPr>
        <w:spacing w:after="5"/>
        <w:ind w:left="-5" w:hanging="10"/>
        <w:rPr>
          <w:rFonts w:ascii="Times New Roman" w:eastAsia="Times New Roman" w:hAnsi="Times New Roman" w:cs="Times New Roman"/>
          <w:color w:val="000000"/>
          <w:kern w:val="2"/>
          <w:szCs w:val="24"/>
          <w14:ligatures w14:val="standardContextual"/>
        </w:rPr>
      </w:pPr>
    </w:p>
    <w:p w14:paraId="70EA0432" w14:textId="42BB00AF" w:rsidR="00D216E8" w:rsidRDefault="00D216E8" w:rsidP="000B4B31">
      <w:pPr>
        <w:pStyle w:val="Heading1"/>
      </w:pPr>
      <w:r w:rsidRPr="007E33D8">
        <w:t>Conclusion</w:t>
      </w:r>
      <w:r w:rsidR="004F016C">
        <w:t xml:space="preserve"> &amp; </w:t>
      </w:r>
      <w:r w:rsidR="004F016C" w:rsidRPr="00EB17A3">
        <w:t xml:space="preserve">Recommendations </w:t>
      </w:r>
    </w:p>
    <w:p w14:paraId="12D43E3F" w14:textId="1D7CACDF" w:rsidR="0002171C" w:rsidRDefault="00F9165C" w:rsidP="0047382C">
      <w:pPr>
        <w:rPr>
          <w:rFonts w:ascii="Times New Roman" w:hAnsi="Times New Roman" w:cs="Times New Roman"/>
        </w:rPr>
      </w:pPr>
      <w:r w:rsidRPr="00F9165C">
        <w:rPr>
          <w:rFonts w:ascii="Times New Roman" w:hAnsi="Times New Roman" w:cs="Times New Roman"/>
        </w:rPr>
        <w:t>The findings of the study indicate that learning interventions implemented by the Professional Regulation Commission (PRC) positively influence employee performance among selected personnel at the PRC Central Office. Employees expressed high satisfaction with the training programs and perceived them as relevant, engaging, and beneficial to their professional development. The interventions contributed to improvements in knowledge, skills, and competencies, particularly in areas such as digital literacy, mental health awareness, leadership practices, teamwork, and reflective learning. These learning outcomes were translated into workplace behaviors that enhanced collaboration, ethical conduct, and task performance. As a result, employees demonstrated very high levels of work quality, efficiency, teamwork, adaptability, and problem-solving abilities. The study further confirmed a statistically significant and moderately positive relationship between learning interventions and employee performance, indicating that training initiatives contribute to both individual competency development and organizational productivity. Overall, the results highlight the important role of continuous learning interventions in strengthening employee capability and improving operational effectiveness within the PRC.</w:t>
      </w:r>
    </w:p>
    <w:p w14:paraId="5300A74D" w14:textId="02232145" w:rsidR="0047382C" w:rsidRDefault="0047382C" w:rsidP="0047382C">
      <w:pPr>
        <w:rPr>
          <w:rFonts w:ascii="Times New Roman" w:hAnsi="Times New Roman" w:cs="Times New Roman"/>
        </w:rPr>
      </w:pPr>
      <w:r w:rsidRPr="0047382C">
        <w:rPr>
          <w:rFonts w:ascii="Times New Roman" w:hAnsi="Times New Roman" w:cs="Times New Roman"/>
        </w:rPr>
        <w:t>Based on the findings of the study, it is recommended that the PRC continue implementing and strengthening its learning and development programs to sustain improvements in employee performance and organizational productivity. Training programs should remain aligned with workforce needs and evolving organizational demands, particularly in areas such as digital skills, leadership development, communication, and customer service. Post-training activities such as coaching, mentoring, refresher sessions, and follow-up evaluations should be implemented to reinforce learning and encourage the application of acquired competencies in the workplace. The integration of mental health and well-being initiatives into training programs is also encouraged to support employee resilience, engagement, and productivity. Additionally, team-based learning activities should be strengthened to enhance collaboration, communication, and shared accountability among employees. The PRC should further improve its training evaluation system by incorporating performance indicators and long-term monitoring to measure the sustained impact of training interventions. Finally, human resource personnel and division leaders should be further equipped with competencies in learning and development to enhance training needs assessment and program implementation.</w:t>
      </w:r>
    </w:p>
    <w:p w14:paraId="18C011BC" w14:textId="1553A177" w:rsidR="0047382C" w:rsidRDefault="0047382C" w:rsidP="0047382C">
      <w:pPr>
        <w:rPr>
          <w:rFonts w:ascii="Times New Roman" w:hAnsi="Times New Roman" w:cs="Times New Roman"/>
        </w:rPr>
      </w:pPr>
      <w:r w:rsidRPr="0047382C">
        <w:rPr>
          <w:rFonts w:ascii="Times New Roman" w:hAnsi="Times New Roman" w:cs="Times New Roman"/>
        </w:rPr>
        <w:t>The study focused only on selected personnel from the Professional Regulation Commission Central Office who had participated in at least one learning intervention between 2022 and 2024. As a result, the findings may not fully represent the experiences of employees in other PRC regional offices or those who have not participated in recent training programs. The study also relied primarily on survey responses and key informant interviews, which may reflect subjective perceptions of training effectiveness and employee performance. Furthermore, the research examined the relationship between learning interventions and employee performance within a limited time frame and organizational setting. Future studies may explore broader organizational contexts, conduct longitudinal investigations of training outcomes, and examine additional factors such as organizational culture, leadership support, and technological infrastructure that may influence employee performance.</w:t>
      </w:r>
    </w:p>
    <w:bookmarkEnd w:id="1"/>
    <w:p w14:paraId="4AA6C620" w14:textId="14E4DA7A" w:rsidR="00BF283A" w:rsidRPr="00BF283A" w:rsidRDefault="007B50EF" w:rsidP="000B4B31">
      <w:pPr>
        <w:pStyle w:val="WJS-l-Headingnonumbering"/>
      </w:pPr>
      <w:r w:rsidRPr="009B379E">
        <w:t xml:space="preserve">Compliance with </w:t>
      </w:r>
      <w:r w:rsidR="003C6513" w:rsidRPr="009B379E">
        <w:t>e</w:t>
      </w:r>
      <w:r w:rsidRPr="009B379E">
        <w:t xml:space="preserve">thical </w:t>
      </w:r>
      <w:r w:rsidR="003C6513" w:rsidRPr="009B379E">
        <w:t>s</w:t>
      </w:r>
      <w:r w:rsidRPr="009B379E">
        <w:t>tandards</w:t>
      </w:r>
      <w:r w:rsidR="00175F39" w:rsidRPr="009B379E">
        <w:t xml:space="preserve"> </w:t>
      </w:r>
    </w:p>
    <w:p w14:paraId="516B75AA" w14:textId="429E32AB" w:rsidR="000B4B31" w:rsidRDefault="0047382C" w:rsidP="0047382C">
      <w:pPr>
        <w:pStyle w:val="WJS-l-subheadingsnonumbering"/>
        <w:spacing w:before="0" w:after="0"/>
        <w:jc w:val="both"/>
        <w:rPr>
          <w:rFonts w:ascii="Times New Roman" w:hAnsi="Times New Roman" w:cs="Times New Roman"/>
          <w:i w:val="0"/>
          <w:sz w:val="20"/>
        </w:rPr>
      </w:pPr>
      <w:r w:rsidRPr="0047382C">
        <w:rPr>
          <w:rFonts w:ascii="Times New Roman" w:hAnsi="Times New Roman" w:cs="Times New Roman"/>
          <w:i w:val="0"/>
          <w:sz w:val="20"/>
        </w:rPr>
        <w:t>The author adhered to established ethical principles for research involving human participants throughout the conduct of the study. Prior approval to conduct the research was obtained from the appropriate academic research committee or ethics review board, and authorization was secured from the Professional Regulation Commission (PRC) Central Office before data collection commenced. Participants were informed about the purpose and procedures of the study, and participation was voluntary. The confidentiality and anonymity of respondents were maintained, and all information collected was used solely for academic purposes.</w:t>
      </w:r>
    </w:p>
    <w:p w14:paraId="4A0A9486" w14:textId="77777777" w:rsidR="0047382C" w:rsidRPr="0047382C" w:rsidRDefault="0047382C" w:rsidP="0047382C"/>
    <w:p w14:paraId="391CB18C" w14:textId="1CD415A3" w:rsidR="0047382C" w:rsidRPr="0047382C" w:rsidRDefault="000B4B31" w:rsidP="0047382C">
      <w:pPr>
        <w:jc w:val="center"/>
        <w:rPr>
          <w:b/>
          <w:bCs/>
          <w:sz w:val="24"/>
          <w:szCs w:val="24"/>
        </w:rPr>
      </w:pPr>
      <w:r w:rsidRPr="000B4B31">
        <w:rPr>
          <w:b/>
          <w:bCs/>
          <w:sz w:val="24"/>
          <w:szCs w:val="24"/>
        </w:rPr>
        <w:t>REFERENCES</w:t>
      </w:r>
    </w:p>
    <w:p w14:paraId="400F32DF"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Aguinis, H., &amp; Kraiger, K. (2009). Benefits of training and development for individuals and teams, organizations, and society. Annual Review of Psychology, 60, 451–474. https://doi.org/10.1146/annurev.psych.60.110707.163505</w:t>
      </w:r>
    </w:p>
    <w:p w14:paraId="221F7AD7"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Amha, G. G., &amp; Brhane, F. (2020). Determinant of employee performance in public organization: The case of Dessie City Municipality Office. International Journal of Marketing &amp; Human Resource Research, 1(01), 1–13. https://journal.jis-institute.org/index.php/ijmhrr/article/view/71</w:t>
      </w:r>
    </w:p>
    <w:p w14:paraId="2CB85E2D"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Armstrong, M., &amp; Taylor, S. (2020). Armstrong’s handbook of human resource management practice. Kogan Page Publishers.</w:t>
      </w:r>
    </w:p>
    <w:p w14:paraId="3801B68B"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Babbie, E. R. (2020). The practice of social research (15th ed.). Cengage Learning.</w:t>
      </w:r>
    </w:p>
    <w:p w14:paraId="34C4D64D"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Baldwin, T. T., &amp; Ford, J. K. (1988). Transfer of training: A review and directions for future research. Personnel Psychology, 41(1), 63–105. https://doi.org/10.1111/j.1744-6570.1988.tb00632.x</w:t>
      </w:r>
    </w:p>
    <w:p w14:paraId="7E5E1FB6"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Becker, G. S. (1993). Human capital: A theoretical and empirical analysis, with special reference to education (3rd ed.). University of Chicago Press.</w:t>
      </w:r>
    </w:p>
    <w:p w14:paraId="7BF37DDA"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Besana, M. D., Palmares, K. D. P., &amp; Diocos, C. B. (2025). Capacity building and organizational efficiency of local government employees. International Journal of Science and Management Studies (IJSMS), 325–333. https://doi.org/10.51386/25815946/ijsms-v8i5p119</w:t>
      </w:r>
    </w:p>
    <w:p w14:paraId="47301466"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Blume, B. D., Ford, J. K., Baldwin, T. T., &amp; Huang, J. L. (2010). Transfer of training: A meta-analytic review. Journal of Management, 36(4), 1065–1105. https://doi.org/10.1177/0149206309352880</w:t>
      </w:r>
    </w:p>
    <w:p w14:paraId="1A8B5ECE"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Boongaling, C. R., Axalan, J. R. D., Perez, R. G. A., Zoleta, Ma. M. F., &amp; Manongsong, J. L. (2020). Human resource training program of a city government in CALABARZON. Asia Pacific Journal of Academic Research in Business Administration.</w:t>
      </w:r>
    </w:p>
    <w:p w14:paraId="6FC0BED4"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Borman, W. C., &amp; Motowidlo, S. J. (1997). Task performance and contextual performance: The meaning for personnel selection research. Human Performance, 10(2), 99–109. https://doi.org/10.1207/s15327043hup1002_3</w:t>
      </w:r>
    </w:p>
    <w:p w14:paraId="5065BB7B"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Braun, V., &amp; Clarke, V. (2006). Using thematic analysis in psychology. Qualitative Research in Psychology, 3(2), 77–101. https://doi.org/10.1191/1478088706qp063oa</w:t>
      </w:r>
    </w:p>
    <w:p w14:paraId="69D6503F"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Campbell, J. P., McCloy, R. A., Oppler, S. H., &amp; Sager, C. E. (1993). A theory of performance. In N. Schmitt &amp; W. C. Borman (Eds.), Personnel selection in organizations (pp. 35–70). Jossey-Bass.</w:t>
      </w:r>
    </w:p>
    <w:p w14:paraId="5DD176AC"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Carruthers, R. (2024, November 19). Examples of successful learning and development strategies: Together mentoring software. RSS. https://www.togetherplatform.com/blog/learning-and-development-strategy-examples</w:t>
      </w:r>
    </w:p>
    <w:p w14:paraId="47C29301"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Creswell, J. W., &amp; Creswell, J. D. (2018). Research design: Qualitative, quantitative, and mixed methods approaches (5th ed.). SAGE Publications.</w:t>
      </w:r>
    </w:p>
    <w:p w14:paraId="0E8E6422"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Day, D. V., Fleenor, J. W., Atwater, L. E., Sturm, R. E., &amp; McKee, R. A. (2014). Advances in leader and leadership development: A review of 25 years of research and theory. The Leadership Quarterly, 25(1), 63–82. https://doi.org/10.1016/j.leaqua.2013.11.004</w:t>
      </w:r>
    </w:p>
    <w:p w14:paraId="07A42CDE"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Dessler, G. (2020). Human resource management (16th ed.). Pearson Education.</w:t>
      </w:r>
    </w:p>
    <w:p w14:paraId="405A032F"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Edmondson, A. C. (2012). Teamwork on the fly: How to master the new art of teaming. Harvard Business Review Press.</w:t>
      </w:r>
    </w:p>
    <w:p w14:paraId="5839074D"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Elamalki, D., Kaddar, A., &amp; Beniich, N. (2024). Impact of motivation on the job performance of public sector employees: The case of Morocco. Futur Bus J, 10, 53. https://doi.org/10.1186/s43093-024-00342-4</w:t>
      </w:r>
    </w:p>
    <w:p w14:paraId="1ED9FE06"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Ellis, M. (2024, September 19). Best practices for employee training and development. Intellum. https://www.intellum.com/resources/blog/employee-training-and-development</w:t>
      </w:r>
    </w:p>
    <w:p w14:paraId="2BF2F8FC"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Estuche, R., Valencia, M. K. Z. N. M., &amp; Tenedero, C. (2024). The impact of learning and development programs on the core competencies of Pasay City Government. https://doi.org/10.17613/k7sn-jp23</w:t>
      </w:r>
    </w:p>
    <w:p w14:paraId="234695FE"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Evans, J. D. (1996). Straightforward statistics for the behavioral sciences. Brooks/Cole Publishing.</w:t>
      </w:r>
    </w:p>
    <w:p w14:paraId="65F4FED2"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Field, A. (2018). Discovering statistics using IBM SPSS statistics (5th ed.). SAGE Publications.</w:t>
      </w:r>
    </w:p>
    <w:p w14:paraId="02E0BE6C"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Fredrickson, B. L. (2001). The role of positive emotions in positive psychology: The broaden-and-build theory of positive emotions. American Psychologist, 56(3), 218–226. https://doi.org/10.1037/0003-066X.56.3.218</w:t>
      </w:r>
    </w:p>
    <w:p w14:paraId="02F5D994"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Ghebregiorgis, F., &amp; Negusse, H. (2022). Factors affecting public servants’ performance in developing countries: Evidences from Eritrea. International Journal of Public Policy and Administration Research, 9(1), 1–10. https://doi.org/10.18488/74.v9i1.2947</w:t>
      </w:r>
    </w:p>
    <w:p w14:paraId="2CA8B9EB"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Goleman, D. (2013). The focused leader. Harvard Business Review Press.</w:t>
      </w:r>
    </w:p>
    <w:p w14:paraId="5FF12ADB"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Graham, C. R. (2013). Emerging practice and research in blended learning. In M. G. Moore (Ed.), Handbook of distance education (3rd ed., pp. 333–350). Routledge.</w:t>
      </w:r>
    </w:p>
    <w:p w14:paraId="4205F87D"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Gross, J. J. (2015). Emotion regulation: Current status and future prospects. Psychological Inquiry, 26(1), 1–26. https://doi.org/10.1080/1047840X.2014.940781</w:t>
      </w:r>
    </w:p>
    <w:p w14:paraId="7A1AA095"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Hackman, J. R. (2011). Collaborative intelligence: Using teams to solve hard problems. Berrett-Koehler Publishers.</w:t>
      </w:r>
    </w:p>
    <w:p w14:paraId="6A8F77C7"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Harunavamwe, M., &amp; Mnqayi, R. B. (2021). Exploring the effect of continuous professional development (CPD) programs on employee performance at Company A in Empangeni, KwaZulu-Natal. Expert Journal of Business and Management.</w:t>
      </w:r>
    </w:p>
    <w:p w14:paraId="1CF2ECAE"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Harvey, S. B., Modini, M., Joyce, S., Milligan-Saville, J. S., Tan, L., Mykletun, A., Bryant, R., Christensen, H., &amp; Mitchell, P. B. (2017). Can work make you mentally ill? A systematic meta-review of work-related risk factors for common mental health problems. Occupational and Environmental Medicine, 74(4), 301–310. https://doi.org/10.1136/oemed-2016-104015</w:t>
      </w:r>
    </w:p>
    <w:p w14:paraId="2E6E8B74"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Hood, C. (1991). A public management for all seasons? Public Administration, 69(1), 3–19. https://doi.org/10.1111/j.1467-9299.1991.tb00779.x</w:t>
      </w:r>
    </w:p>
    <w:p w14:paraId="61E8BC7A"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How competency-based learning enhances government employee training I cabem. (2024, December 13). CABEM. https://www.cabem.com/how-competency-based-learning-enhances-government-employee-training/</w:t>
      </w:r>
    </w:p>
    <w:p w14:paraId="38937E45"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Ismail Nor, A. (2023). Improving employee performance and public service delivery through training and development: Case of civil service of federal government of Somalia. International Journal of Business and Management, 18(2), 145. https://doi.org/10.5539/ijbm.v18n2p145</w:t>
      </w:r>
    </w:p>
    <w:p w14:paraId="0D5FF0C4"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Jafri, M., Razak, A., Osman, Z., Razniza, N., &amp; Nadzri, M. (2025). Enhancing employee performance in the public sector: The interplay of public service motivation, leadership style, organizational commitment, and satisfaction.</w:t>
      </w:r>
    </w:p>
    <w:p w14:paraId="34A43E8F"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Jimenez, V. I., &amp; Velasco, Ma. C. B. (2025). Efficacy of behavioral intervention plan for government employees: A counseling and development program. https://doi.org/10.5281/zenodo.15786211</w:t>
      </w:r>
    </w:p>
    <w:p w14:paraId="1C00C600"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Jinee, D., Queja, D. M., Sendin, T. M., Tottoc, A. A., Villanueva, C. M., &amp; Mania, J. R. (2024). Assessing the perceived benefits of training and development on employee performance in Municipal Financial Management Offices: A case study of Solano’s local government unit. International Journal of Research and Innovation in Social Science, VIII(V), 2314–2340. https://doi.org/10.47772/ijriss.2024.805168</w:t>
      </w:r>
    </w:p>
    <w:p w14:paraId="64B89D81"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Kaiser, K. (2009). Protecting respondent confidentiality in qualitative research. Qualitative Health Research, 19(11), 1632–1641. https://doi.org/10.1177/1049732309350879</w:t>
      </w:r>
    </w:p>
    <w:p w14:paraId="197F3DD9"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Katzenbach, J. R., &amp; Smith, D. K. (2006). The wisdom of teams: Creating the high-performance organization. Harper Business.</w:t>
      </w:r>
    </w:p>
    <w:p w14:paraId="41747B75"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Killawi, A., Khidir, A., Elnashar, M., El-Zein, A., Abdelrahim, H., Hammoud, M., &amp; Fetters, M. D. (2014). Procedures of recruiting, obtaining informed consent, and compensating research participants in Qatar: Findings from a qualitative investigation. BMC Medical Ethics, 15(1), 9. https://doi.org/10.1186/1472-6939-15-9</w:t>
      </w:r>
    </w:p>
    <w:p w14:paraId="2CB1183D"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Kirkpatrick, D. L., &amp; Kirkpatrick, J. D. (2006). Evaluating training programs: The four levels (3rd ed.). Berrett-Koehler Publishers.</w:t>
      </w:r>
    </w:p>
    <w:p w14:paraId="20FBA2BF"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Knowles, M. S., Holton, E. F., &amp; Swanson, R. A. (2015). The adult learner: The definitive classic in adult education and human resource development (8th ed.). Routledge.</w:t>
      </w:r>
    </w:p>
    <w:p w14:paraId="709F30E8"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Kolb, D. A. (2015). Experiential learning: Experience as the source of learning and development (2nd ed.). Pearson Education.</w:t>
      </w:r>
    </w:p>
    <w:p w14:paraId="262424FA"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Kozlowski, S. W. J., &amp; Ilgen, D. R. (2006). Enhancing the effectiveness of work groups and teams. Psychological Science in the Public Interest, 7(3), 77–124. https://doi.org/10.1111/j.1529-1006.2006.00030.x</w:t>
      </w:r>
    </w:p>
    <w:p w14:paraId="53AB457D"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Kreitner, R., &amp; Kinicki, A. (2012). Organizational behavior. McGraw-Hill Education.</w:t>
      </w:r>
    </w:p>
    <w:p w14:paraId="6C95AEDD"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Li, L. (2022). Reskilling and upskilling the future-ready workforce for Industry 4.0 and beyond. Information Systems Frontiers, 26(5), 1697–1712. https://doi.org/10.1007/s10796-022-10308-y</w:t>
      </w:r>
    </w:p>
    <w:p w14:paraId="4562480D"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Mathieu, J. E., Hollenbeck, J. R., van Knippenberg, D., &amp; Ilgen, D. R. (2017). A century of work teams in the Journal of Applied Psychology. Journal of Applied Psychology, 102(3), 452–467. https://doi.org/10.1037/apl0000128</w:t>
      </w:r>
    </w:p>
    <w:p w14:paraId="6672E69F"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McMillan, J. H., &amp; Schumacher, S. (2014). Research in education: Evidence-based inquiry (7th ed.). Pearson Education.</w:t>
      </w:r>
    </w:p>
    <w:p w14:paraId="6106620A"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Mendoza, C. N., &amp; Bautista, P. D. S. (2022). Scenario-based training and development design among the Philippine local government units. Texas Journal of Philology, Culture and History.</w:t>
      </w:r>
    </w:p>
    <w:p w14:paraId="4CEBF246"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Mohamed, B. A., Eid, M. A., &amp; Karie, O. H. (2025). Factors influencing public employees’ performance and productivity of government agencies: A case study of National Civil Service Commission in Somalia. Journal of Emerging Technologies and Innovative Research.</w:t>
      </w:r>
    </w:p>
    <w:p w14:paraId="12BA3CB4"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Mumford, M. D., Zaccaro, S. J., Connelly, M. S., &amp; Marks, M. A. (2000). Leadership skills: Conclusions and future directions. The Leadership Quarterly, 11(1), 155–170. https://doi.org/10.1016/S1048-9843(00)00061-8</w:t>
      </w:r>
    </w:p>
    <w:p w14:paraId="0DB76DA1"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Ng, T. W. H., &amp; Feldman, D. C. (2010). The relationships of age with job attitudes: A meta-analysis. Personnel Psychology, 63(3), 677–718. https://doi.org/10.1111/j.1744-6570.2010.01184.x</w:t>
      </w:r>
    </w:p>
    <w:p w14:paraId="50F581B8"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Noe, R. A. (2020). Employee training and development (8th ed.). McGraw-Hill Education.</w:t>
      </w:r>
    </w:p>
    <w:p w14:paraId="757E4D93"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Nor, A. I. (2025). The effect of training on public service delivery effectiveness in public sector organizations: The mediating role of civil servants’ performance. Cogent Social Sciences, 11(1). https://doi.org/10.1080/23311886.2025.2466788</w:t>
      </w:r>
    </w:p>
    <w:p w14:paraId="09730986"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Nyoni, N. P. (2024). Career development and employee performance in public sector organizations in Tanzania: A case of Kondoa District Council. South Asian Journal of Social Studies and Economics, 21(7), 110–128. https://doi.org/10.9734/sajsse/2024/v21i7849</w:t>
      </w:r>
    </w:p>
    <w:p w14:paraId="1D411CBE"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Oko-Joseph, C. O. (2025). Beyond traditional training: The role of learning in transforming public sector workforces.</w:t>
      </w:r>
    </w:p>
    <w:p w14:paraId="65F86E4D"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Onwunyi, U. M., &amp; Mba, A. O. (2021). Work environment and employee performance in the public service: A study of Chukwuemeka Odumegwu Ojukwu University, Anambra State, Nigeria. Global Journal of Political Science and Administration.</w:t>
      </w:r>
    </w:p>
    <w:p w14:paraId="06AC728B"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Palinkas, L. A., Horwitz, S. M., Green, C. A., Wisdom, J. P., Duan, N., &amp; Hoagwood, K. (2015). Purposeful sampling for qualitative data collection and analysis in mixed method implementation research. Administration and Policy in Mental Health and Mental Health Services Research, 42(5), 533–544. https://doi.org/10.1007/s10488-013-0528-y</w:t>
      </w:r>
    </w:p>
    <w:p w14:paraId="20B2E78F"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Pulakos, E. D., Arad, S., Donovan, M. A., &amp; Plamondon, K. E. (2000). Adaptability in the workplace: Development of a taxonomy of adaptive performance. Journal of Applied Psychology, 85(4), 612–624. https://doi.org/10.1037/0021-9010.85.4.612</w:t>
      </w:r>
    </w:p>
    <w:p w14:paraId="0A6A211C"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Puspita Dewi, N., Indrayani, I., Wibisono, C., &amp; Rumengan, A. E. (2024). Government employee assessment to support public performance organization learned from Riau Island Province. Cogent Business &amp; Management, 11(1). https://doi.org/10.1080/23311975.2024.2368322</w:t>
      </w:r>
    </w:p>
    <w:p w14:paraId="2484DF94"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Raimondo, E., &amp; Newcomer, K. E. (2017). Mixed-methods inquiry in public administration: The interaction of theory, methodology, and praxis. Review of Public Personnel Administration, 37(3), 267–283. https://doi.org/10.1177/0734371X17697247</w:t>
      </w:r>
    </w:p>
    <w:p w14:paraId="1881F148"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Rosenbaum, A., &amp; West, D. M. (2018). Public administration and governance: A sector in transition. Routledge.</w:t>
      </w:r>
    </w:p>
    <w:p w14:paraId="4C1219B1"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Ruhana, F., Fauzi, R., &amp; Hariyanto, H. (2023). Education and training for local government officials: Program evaluation and its impact on bureaucratic performance. https://doi.org/10.15575/jbpd.v5i3.30658</w:t>
      </w:r>
    </w:p>
    <w:p w14:paraId="6D708087"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Saks, A. M. (2006). Antecedents and consequences of employee engagement. Journal of Managerial Psychology, 21(7), 600–619. https://doi.org/10.1108/02683940610690169</w:t>
      </w:r>
    </w:p>
    <w:p w14:paraId="0FFFA419"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Salas, E., Shuffler, M. L., Thayer, A. L., Bedwell, W. L., &amp; Lazzara, E. H. (2015). Understanding and improving teamwork in organizations: A scientifically based practical guide. Human Resource Management, 54(4), 599–622. https://doi.org/10.1002/hrm.21628</w:t>
      </w:r>
    </w:p>
    <w:p w14:paraId="5D46F9AB"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Salas, E., Tannenbaum, S. I., Kraiger, K., &amp; Smith-Jentsch, K. A. (2012). The science of training and development in organizations: What matters in practice. Psychological Science in the Public Interest, 13(2), 74–101. https://doi.org/10.1177/1529100612436661</w:t>
      </w:r>
    </w:p>
    <w:p w14:paraId="06E503DE"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Santillan, I. (2022). What factors influence employee’s performance in public administration?</w:t>
      </w:r>
    </w:p>
    <w:p w14:paraId="1AD220F6"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Schmitt, N., Cortina, J. M., Ingerick, M. J., &amp; Wiechmann, D. (2003). Personnel selection and employee performance. In W. C. Borman, D. R. Ilgen, &amp; R. J. Klimoski (Eds.), Handbook of psychology: Industrial and organizational psychology (Vol. 12, pp. 77–105). John Wiley &amp; Sons, Inc.</w:t>
      </w:r>
    </w:p>
    <w:p w14:paraId="0A473185"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Sitzmann, T., Brown, K. G., Casper, W. J., Ely, K., &amp; Zimmerman, R. D. (2008). A review and meta-analysis of the nomological network of trainee reactions. Journal of Applied Psychology, 93(2), 280–295. https://doi.org/10.1037/0021-9010.93.2.280</w:t>
      </w:r>
    </w:p>
    <w:p w14:paraId="68437EF9"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Sonnentag, S., &amp; Frese, M. (2002). Performance concepts and performance theory. In S. Sonnentag (Ed.), Psychological management of individual performance (pp. 3–25). John Wiley &amp; Sons.</w:t>
      </w:r>
    </w:p>
    <w:p w14:paraId="006B177D"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Tampon, V. (2024, October 31). Learning and development interventions in the Philippines. Learning and Development Interventions in the Philippines. https://rainmakermastery.com/learning-and-development-interventions/</w:t>
      </w:r>
    </w:p>
    <w:p w14:paraId="2770C1A5"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Umar, A., Tamsah, H., Mattalatta, M., Baharuddin, B., &amp; R, A. L. (2020). Training-effectiveness and team-performance in public organization. The Journal of Asian Finance, Economics and Business, 7(11), 1021–1031. https://doi.org/10.13106/jafeb.2020.vol7.no11.1021</w:t>
      </w:r>
    </w:p>
    <w:p w14:paraId="2BC1A95E"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United Nations Development Programme. (2018). Gender equality strategy 2018–2021. UNDP.</w:t>
      </w:r>
    </w:p>
    <w:p w14:paraId="3F8B32A2"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Van Laar, E., Van Deursen, A. J. A. M., Van Dijk, J. A. G. M., &amp; De Haan, J. (2017). The relation between 21st-century skills and digital skills: A systematic literature review. Computers in Human Behavior, 72, 577–588. https://doi.org/10.1016/j.chb.2017.03.010</w:t>
      </w:r>
    </w:p>
    <w:p w14:paraId="5A224AE0"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Vigoda-Gadot, E., &amp; Vashdi, D. R. (2020). Handbook of research methods in public administration, management and policy. Edward Elgar Publishing. https://doi.org/10.4337/9781789903485</w:t>
      </w:r>
    </w:p>
    <w:p w14:paraId="709F699C"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World Health Organization. (2022). Guidelines on mental health at work. World Health Organization.</w:t>
      </w:r>
    </w:p>
    <w:p w14:paraId="2EA377A4" w14:textId="77777777" w:rsidR="0047382C" w:rsidRP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Yukl, G. (2013). Leadership in organizations (8th ed.). Pearson Education.</w:t>
      </w:r>
    </w:p>
    <w:p w14:paraId="50318CB1" w14:textId="77777777" w:rsidR="0047382C" w:rsidRDefault="0047382C" w:rsidP="0047382C">
      <w:pPr>
        <w:spacing w:after="0"/>
        <w:ind w:left="720" w:hanging="720"/>
        <w:rPr>
          <w:rFonts w:ascii="Times New Roman" w:eastAsia="Times New Roman" w:hAnsi="Times New Roman" w:cs="Times New Roman"/>
          <w:bCs/>
          <w:noProof/>
          <w:sz w:val="21"/>
          <w:szCs w:val="21"/>
        </w:rPr>
      </w:pPr>
      <w:r w:rsidRPr="0047382C">
        <w:rPr>
          <w:rFonts w:ascii="Times New Roman" w:eastAsia="Times New Roman" w:hAnsi="Times New Roman" w:cs="Times New Roman"/>
          <w:bCs/>
          <w:noProof/>
          <w:sz w:val="21"/>
          <w:szCs w:val="21"/>
        </w:rPr>
        <w:t>Zweni, N. (2023). Employee participation in training and development interventions at a selected municipality. SA Journal of Human Resource Management, 21. https://doi.org/10.4102/sajhrm.v21i0.2258</w:t>
      </w:r>
    </w:p>
    <w:p w14:paraId="4B9C6237" w14:textId="370010BA" w:rsidR="00377B02" w:rsidRPr="000B4B31" w:rsidRDefault="00377B02" w:rsidP="00B33BD7">
      <w:pPr>
        <w:spacing w:after="0"/>
        <w:rPr>
          <w:rFonts w:ascii="Times New Roman" w:eastAsia="Times New Roman" w:hAnsi="Times New Roman" w:cs="Times New Roman"/>
          <w:bCs/>
          <w:noProof/>
          <w:sz w:val="24"/>
          <w:szCs w:val="24"/>
          <w:lang w:val="en-PH"/>
        </w:rPr>
      </w:pPr>
    </w:p>
    <w:sectPr w:rsidR="00377B02" w:rsidRPr="000B4B31" w:rsidSect="00620593">
      <w:headerReference w:type="even" r:id="rId8"/>
      <w:headerReference w:type="default" r:id="rId9"/>
      <w:footerReference w:type="even" r:id="rId10"/>
      <w:footerReference w:type="default" r:id="rId11"/>
      <w:headerReference w:type="first" r:id="rId12"/>
      <w:footerReference w:type="first" r:id="rId13"/>
      <w:type w:val="continuous"/>
      <w:pgSz w:w="11909" w:h="16834" w:code="9"/>
      <w:pgMar w:top="1440" w:right="1080" w:bottom="1440" w:left="1080" w:header="283" w:footer="144" w:gutter="0"/>
      <w:pgNumType w:start="77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18729" w14:textId="77777777" w:rsidR="008A383A" w:rsidRPr="003D7BB2" w:rsidRDefault="008A383A" w:rsidP="005D1B76">
      <w:pPr>
        <w:pStyle w:val="WJS-k-CaptionsFiguresTables"/>
        <w:spacing w:before="0" w:after="0"/>
        <w:rPr>
          <w:sz w:val="19"/>
        </w:rPr>
      </w:pPr>
      <w:r>
        <w:separator/>
      </w:r>
    </w:p>
    <w:p w14:paraId="302AE23F" w14:textId="77777777" w:rsidR="008A383A" w:rsidRDefault="008A383A"/>
  </w:endnote>
  <w:endnote w:type="continuationSeparator" w:id="0">
    <w:p w14:paraId="5A1F011A" w14:textId="77777777" w:rsidR="008A383A" w:rsidRPr="003D7BB2" w:rsidRDefault="008A383A" w:rsidP="005D1B76">
      <w:pPr>
        <w:pStyle w:val="WJS-k-CaptionsFiguresTables"/>
        <w:spacing w:before="0" w:after="0"/>
        <w:rPr>
          <w:sz w:val="19"/>
        </w:rPr>
      </w:pPr>
      <w:r>
        <w:continuationSeparator/>
      </w:r>
    </w:p>
    <w:p w14:paraId="727A3190" w14:textId="77777777" w:rsidR="008A383A" w:rsidRDefault="008A38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73ACC" w14:textId="77777777" w:rsidR="00620593" w:rsidRDefault="006205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C5198" w14:textId="77777777" w:rsidR="0056197A" w:rsidRPr="0056197A" w:rsidRDefault="0056197A" w:rsidP="0056197A">
    <w:pPr>
      <w:tabs>
        <w:tab w:val="center" w:pos="4680"/>
        <w:tab w:val="right" w:pos="9180"/>
      </w:tabs>
      <w:suppressAutoHyphens/>
      <w:spacing w:after="0" w:line="276" w:lineRule="auto"/>
      <w:ind w:right="569"/>
      <w:jc w:val="right"/>
      <w:rPr>
        <w:rFonts w:ascii="Times New Roman" w:eastAsia="SimSun" w:hAnsi="Times New Roman" w:cs="Times New Roman"/>
        <w:b/>
        <w:bCs/>
        <w:color w:val="E36C0A"/>
        <w:sz w:val="19"/>
        <w:szCs w:val="19"/>
        <w:shd w:val="clear" w:color="auto" w:fill="FFFFFF"/>
        <w:lang w:val="en-PH" w:eastAsia="zh-CN"/>
      </w:rPr>
    </w:pPr>
    <w:r w:rsidRPr="0056197A">
      <w:rPr>
        <w:rFonts w:ascii="Times New Roman" w:eastAsia="SimSun" w:hAnsi="Times New Roman" w:cs="Times New Roman"/>
        <w:b/>
        <w:bCs/>
        <w:noProof/>
        <w:color w:val="002060"/>
        <w:sz w:val="22"/>
        <w:szCs w:val="20"/>
        <w:lang w:val="en-PH" w:eastAsia="zh-CN"/>
      </w:rPr>
      <mc:AlternateContent>
        <mc:Choice Requires="wps">
          <w:drawing>
            <wp:anchor distT="0" distB="0" distL="114300" distR="114300" simplePos="0" relativeHeight="251679744" behindDoc="0" locked="0" layoutInCell="1" allowOverlap="1" wp14:anchorId="516FB43E" wp14:editId="4562885D">
              <wp:simplePos x="0" y="0"/>
              <wp:positionH relativeFrom="column">
                <wp:posOffset>5920486</wp:posOffset>
              </wp:positionH>
              <wp:positionV relativeFrom="paragraph">
                <wp:posOffset>-42799</wp:posOffset>
              </wp:positionV>
              <wp:extent cx="0" cy="365760"/>
              <wp:effectExtent l="19050" t="0" r="19050" b="34290"/>
              <wp:wrapNone/>
              <wp:docPr id="1579319135" name="Straight Connector 2"/>
              <wp:cNvGraphicFramePr/>
              <a:graphic xmlns:a="http://schemas.openxmlformats.org/drawingml/2006/main">
                <a:graphicData uri="http://schemas.microsoft.com/office/word/2010/wordprocessingShape">
                  <wps:wsp>
                    <wps:cNvCnPr/>
                    <wps:spPr>
                      <a:xfrm>
                        <a:off x="0" y="0"/>
                        <a:ext cx="0" cy="365760"/>
                      </a:xfrm>
                      <a:prstGeom prst="line">
                        <a:avLst/>
                      </a:prstGeom>
                      <a:noFill/>
                      <a:ln w="28575" cap="flat" cmpd="sng" algn="ctr">
                        <a:solidFill>
                          <a:srgbClr val="00206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4CC8D2C" id="Straight Connector 2"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6.2pt,-3.35pt" to="466.2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" strokecolor="#002060" strokeweight="2.25pt"/>
          </w:pict>
        </mc:Fallback>
      </mc:AlternateContent>
    </w:r>
    <w:r w:rsidRPr="0056197A">
      <w:rPr>
        <w:rFonts w:ascii="Times New Roman" w:eastAsia="SimSun" w:hAnsi="Times New Roman" w:cs="Times New Roman"/>
        <w:b/>
        <w:bCs/>
        <w:noProof/>
        <w:color w:val="E36C0A"/>
        <w:sz w:val="19"/>
        <w:szCs w:val="19"/>
        <w:lang w:val="en-PH" w:eastAsia="zh-CN"/>
      </w:rPr>
      <mc:AlternateContent>
        <mc:Choice Requires="wps">
          <w:drawing>
            <wp:anchor distT="45720" distB="45720" distL="114300" distR="114300" simplePos="0" relativeHeight="251678720" behindDoc="0" locked="0" layoutInCell="1" allowOverlap="1" wp14:anchorId="70162974" wp14:editId="1D4146E5">
              <wp:simplePos x="0" y="0"/>
              <wp:positionH relativeFrom="column">
                <wp:posOffset>5928360</wp:posOffset>
              </wp:positionH>
              <wp:positionV relativeFrom="paragraph">
                <wp:posOffset>7620</wp:posOffset>
              </wp:positionV>
              <wp:extent cx="543560" cy="29718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 cy="297180"/>
                      </a:xfrm>
                      <a:prstGeom prst="rect">
                        <a:avLst/>
                      </a:prstGeom>
                      <a:noFill/>
                      <a:ln w="9525">
                        <a:noFill/>
                        <a:miter lim="800000"/>
                        <a:headEnd/>
                        <a:tailEnd/>
                      </a:ln>
                    </wps:spPr>
                    <wps:txbx>
                      <w:txbxContent>
                        <w:sdt>
                          <w:sdtPr>
                            <w:rPr>
                              <w:b/>
                              <w:bCs/>
                              <w:color w:val="002060"/>
                              <w:sz w:val="22"/>
                              <w:szCs w:val="24"/>
                            </w:rPr>
                            <w:id w:val="-1830363600"/>
                            <w:docPartObj>
                              <w:docPartGallery w:val="Page Numbers (Bottom of Page)"/>
                              <w:docPartUnique/>
                            </w:docPartObj>
                          </w:sdtPr>
                          <w:sdtContent>
                            <w:p w14:paraId="65D9E3D0" w14:textId="77777777" w:rsidR="0056197A" w:rsidRPr="00D87EE5" w:rsidRDefault="0056197A" w:rsidP="0056197A">
                              <w:pPr>
                                <w:rPr>
                                  <w:b/>
                                  <w:bCs/>
                                  <w:color w:val="002060"/>
                                  <w:sz w:val="22"/>
                                  <w:szCs w:val="24"/>
                                </w:rPr>
                              </w:pPr>
                              <w:r w:rsidRPr="00D87EE5">
                                <w:rPr>
                                  <w:b/>
                                  <w:bCs/>
                                  <w:color w:val="002060"/>
                                  <w:sz w:val="22"/>
                                  <w:szCs w:val="24"/>
                                </w:rPr>
                                <w:fldChar w:fldCharType="begin"/>
                              </w:r>
                              <w:r w:rsidRPr="00D87EE5">
                                <w:rPr>
                                  <w:b/>
                                  <w:bCs/>
                                  <w:color w:val="002060"/>
                                  <w:sz w:val="22"/>
                                  <w:szCs w:val="24"/>
                                </w:rPr>
                                <w:instrText xml:space="preserve"> PAGE   \* MERGEFORMAT </w:instrText>
                              </w:r>
                              <w:r w:rsidRPr="00D87EE5">
                                <w:rPr>
                                  <w:b/>
                                  <w:bCs/>
                                  <w:color w:val="002060"/>
                                  <w:sz w:val="22"/>
                                  <w:szCs w:val="24"/>
                                </w:rPr>
                                <w:fldChar w:fldCharType="separate"/>
                              </w:r>
                              <w:r w:rsidRPr="00D87EE5">
                                <w:rPr>
                                  <w:b/>
                                  <w:bCs/>
                                  <w:color w:val="002060"/>
                                  <w:sz w:val="22"/>
                                  <w:szCs w:val="24"/>
                                </w:rPr>
                                <w:t>2</w:t>
                              </w:r>
                              <w:r w:rsidRPr="00D87EE5">
                                <w:rPr>
                                  <w:b/>
                                  <w:bCs/>
                                  <w:color w:val="002060"/>
                                  <w:sz w:val="22"/>
                                  <w:szCs w:val="24"/>
                                </w:rPr>
                                <w:fldChar w:fldCharType="end"/>
                              </w:r>
                            </w:p>
                            <w:p w14:paraId="73058577" w14:textId="77777777" w:rsidR="0056197A" w:rsidRPr="00D87EE5" w:rsidRDefault="00000000" w:rsidP="0056197A">
                              <w:pPr>
                                <w:rPr>
                                  <w:b/>
                                  <w:bCs/>
                                  <w:color w:val="002060"/>
                                  <w:sz w:val="22"/>
                                  <w:szCs w:val="24"/>
                                </w:rPr>
                              </w:pPr>
                            </w:p>
                          </w:sdtContent>
                        </w:sdt>
                        <w:p w14:paraId="35DE1D71" w14:textId="77777777" w:rsidR="0056197A" w:rsidRPr="00D87EE5" w:rsidRDefault="0056197A" w:rsidP="0056197A">
                          <w:pPr>
                            <w:rPr>
                              <w:b/>
                              <w:bCs/>
                              <w:color w:val="002060"/>
                              <w:sz w:val="22"/>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162974" id="_x0000_t202" coordsize="21600,21600" o:spt="202" path="m,l,21600r21600,l21600,xe">
              <v:stroke joinstyle="miter"/>
              <v:path gradientshapeok="t" o:connecttype="rect"/>
            </v:shapetype>
            <v:shape id="Text Box 2" o:spid="_x0000_s1026" type="#_x0000_t202" style="position:absolute;left:0;text-align:left;margin-left:466.8pt;margin-top:.6pt;width:42.8pt;height:23.4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" filled="f" stroked="f">
              <v:textbox>
                <w:txbxContent>
                  <w:sdt>
                    <w:sdtPr>
                      <w:rPr>
                        <w:b/>
                        <w:bCs/>
                        <w:color w:val="002060"/>
                        <w:sz w:val="22"/>
                        <w:szCs w:val="24"/>
                      </w:rPr>
                      <w:id w:val="-1830363600"/>
                      <w:docPartObj>
                        <w:docPartGallery w:val="Page Numbers (Bottom of Page)"/>
                        <w:docPartUnique/>
                      </w:docPartObj>
                    </w:sdtPr>
                    <w:sdtEndPr/>
                    <w:sdtContent>
                      <w:p w14:paraId="65D9E3D0" w14:textId="77777777" w:rsidR="0056197A" w:rsidRPr="00D87EE5" w:rsidRDefault="0056197A" w:rsidP="0056197A">
                        <w:pPr>
                          <w:rPr>
                            <w:b/>
                            <w:bCs/>
                            <w:color w:val="002060"/>
                            <w:sz w:val="22"/>
                            <w:szCs w:val="24"/>
                          </w:rPr>
                        </w:pPr>
                        <w:r w:rsidRPr="00D87EE5">
                          <w:rPr>
                            <w:b/>
                            <w:bCs/>
                            <w:color w:val="002060"/>
                            <w:sz w:val="22"/>
                            <w:szCs w:val="24"/>
                          </w:rPr>
                          <w:fldChar w:fldCharType="begin"/>
                        </w:r>
                        <w:r w:rsidRPr="00D87EE5">
                          <w:rPr>
                            <w:b/>
                            <w:bCs/>
                            <w:color w:val="002060"/>
                            <w:sz w:val="22"/>
                            <w:szCs w:val="24"/>
                          </w:rPr>
                          <w:instrText xml:space="preserve"> PAGE   \* MERGEFORMAT </w:instrText>
                        </w:r>
                        <w:r w:rsidRPr="00D87EE5">
                          <w:rPr>
                            <w:b/>
                            <w:bCs/>
                            <w:color w:val="002060"/>
                            <w:sz w:val="22"/>
                            <w:szCs w:val="24"/>
                          </w:rPr>
                          <w:fldChar w:fldCharType="separate"/>
                        </w:r>
                        <w:r w:rsidRPr="00D87EE5">
                          <w:rPr>
                            <w:b/>
                            <w:bCs/>
                            <w:color w:val="002060"/>
                            <w:sz w:val="22"/>
                            <w:szCs w:val="24"/>
                          </w:rPr>
                          <w:t>2</w:t>
                        </w:r>
                        <w:r w:rsidRPr="00D87EE5">
                          <w:rPr>
                            <w:b/>
                            <w:bCs/>
                            <w:color w:val="002060"/>
                            <w:sz w:val="22"/>
                            <w:szCs w:val="24"/>
                          </w:rPr>
                          <w:fldChar w:fldCharType="end"/>
                        </w:r>
                      </w:p>
                      <w:p w14:paraId="73058577" w14:textId="77777777" w:rsidR="0056197A" w:rsidRPr="00D87EE5" w:rsidRDefault="006478A4" w:rsidP="0056197A">
                        <w:pPr>
                          <w:rPr>
                            <w:b/>
                            <w:bCs/>
                            <w:color w:val="002060"/>
                            <w:sz w:val="22"/>
                            <w:szCs w:val="24"/>
                          </w:rPr>
                        </w:pPr>
                      </w:p>
                    </w:sdtContent>
                  </w:sdt>
                  <w:p w14:paraId="35DE1D71" w14:textId="77777777" w:rsidR="0056197A" w:rsidRPr="00D87EE5" w:rsidRDefault="0056197A" w:rsidP="0056197A">
                    <w:pPr>
                      <w:rPr>
                        <w:b/>
                        <w:bCs/>
                        <w:color w:val="002060"/>
                        <w:sz w:val="22"/>
                        <w:szCs w:val="24"/>
                      </w:rPr>
                    </w:pPr>
                  </w:p>
                </w:txbxContent>
              </v:textbox>
            </v:shape>
          </w:pict>
        </mc:Fallback>
      </mc:AlternateContent>
    </w:r>
    <w:r w:rsidRPr="0056197A">
      <w:rPr>
        <w:rFonts w:ascii="Times New Roman" w:eastAsia="SimSun" w:hAnsi="Times New Roman" w:cs="Times New Roman"/>
        <w:b/>
        <w:bCs/>
        <w:color w:val="E36C0A"/>
        <w:sz w:val="19"/>
        <w:szCs w:val="19"/>
        <w:lang w:val="en-PH" w:eastAsia="zh-CN"/>
      </w:rPr>
      <w:t>International Journal of Sustainability</w:t>
    </w:r>
    <w:r w:rsidRPr="0056197A">
      <w:rPr>
        <w:rFonts w:ascii="Times New Roman" w:eastAsia="SimSun" w:hAnsi="Times New Roman" w:cs="Times New Roman"/>
        <w:b/>
        <w:bCs/>
        <w:color w:val="E36C0A"/>
        <w:sz w:val="19"/>
        <w:szCs w:val="19"/>
        <w:shd w:val="clear" w:color="auto" w:fill="FFFFFF"/>
        <w:lang w:val="en-PH" w:eastAsia="zh-CN"/>
      </w:rPr>
      <w:t xml:space="preserve"> </w:t>
    </w:r>
    <w:r w:rsidRPr="0056197A">
      <w:rPr>
        <w:rFonts w:ascii="Times New Roman" w:eastAsia="SimSun" w:hAnsi="Times New Roman" w:cs="Times New Roman"/>
        <w:b/>
        <w:bCs/>
        <w:color w:val="E36C0A"/>
        <w:sz w:val="19"/>
        <w:szCs w:val="19"/>
        <w:lang w:val="en-PH" w:eastAsia="zh-CN"/>
      </w:rPr>
      <w:t>and Advanced Integrated Research</w:t>
    </w:r>
    <w:r w:rsidRPr="0056197A">
      <w:rPr>
        <w:rFonts w:ascii="Times New Roman" w:eastAsia="SimSun" w:hAnsi="Times New Roman" w:cs="Times New Roman"/>
        <w:b/>
        <w:bCs/>
        <w:color w:val="E36C0A"/>
        <w:sz w:val="19"/>
        <w:szCs w:val="19"/>
        <w:shd w:val="clear" w:color="auto" w:fill="FFFFFF"/>
        <w:lang w:val="en-PH" w:eastAsia="zh-CN"/>
      </w:rPr>
      <w:t xml:space="preserve"> </w:t>
    </w:r>
  </w:p>
  <w:p w14:paraId="4A72EA04" w14:textId="77777777" w:rsidR="0056197A" w:rsidRPr="0056197A" w:rsidRDefault="0056197A" w:rsidP="0056197A">
    <w:pPr>
      <w:tabs>
        <w:tab w:val="center" w:pos="4680"/>
        <w:tab w:val="right" w:pos="9180"/>
      </w:tabs>
      <w:suppressAutoHyphens/>
      <w:spacing w:after="0" w:line="276" w:lineRule="auto"/>
      <w:ind w:right="569"/>
      <w:jc w:val="right"/>
      <w:rPr>
        <w:rFonts w:ascii="Times New Roman" w:eastAsia="SimSun" w:hAnsi="Times New Roman" w:cs="Times New Roman"/>
        <w:b/>
        <w:bCs/>
        <w:color w:val="4F6228"/>
        <w:sz w:val="19"/>
        <w:szCs w:val="19"/>
        <w:shd w:val="clear" w:color="auto" w:fill="FFFFFF"/>
        <w:lang w:val="en-PH" w:eastAsia="zh-CN"/>
      </w:rPr>
    </w:pPr>
    <w:r w:rsidRPr="0056197A">
      <w:rPr>
        <w:rFonts w:ascii="Times New Roman" w:eastAsia="SimSun" w:hAnsi="Times New Roman" w:cs="Times New Roman"/>
        <w:b/>
        <w:bCs/>
        <w:color w:val="002060"/>
        <w:sz w:val="19"/>
        <w:szCs w:val="19"/>
        <w:lang w:val="en-PH" w:eastAsia="zh-CN"/>
      </w:rPr>
      <w:t>Volume 2, Issue 1 (January-March 2026) | ISSN: 3107-7854</w:t>
    </w:r>
  </w:p>
  <w:p w14:paraId="723258AC" w14:textId="6A919107" w:rsidR="00454625" w:rsidRPr="0056197A" w:rsidRDefault="00454625" w:rsidP="005619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6" w:name="_Hlk218939175"/>
  <w:bookmarkStart w:id="37" w:name="_Hlk218939176"/>
  <w:bookmarkStart w:id="38" w:name="_Hlk218939211"/>
  <w:bookmarkStart w:id="39" w:name="_Hlk218939212"/>
  <w:bookmarkStart w:id="40" w:name="_Hlk218939231"/>
  <w:bookmarkStart w:id="41" w:name="_Hlk218939232"/>
  <w:p w14:paraId="4B1A72BB" w14:textId="77777777" w:rsidR="0056197A" w:rsidRPr="0056197A" w:rsidRDefault="0056197A" w:rsidP="0056197A">
    <w:pPr>
      <w:tabs>
        <w:tab w:val="center" w:pos="4680"/>
        <w:tab w:val="right" w:pos="9180"/>
      </w:tabs>
      <w:suppressAutoHyphens/>
      <w:spacing w:after="0" w:line="276" w:lineRule="auto"/>
      <w:ind w:right="569"/>
      <w:jc w:val="right"/>
      <w:rPr>
        <w:rFonts w:ascii="Times New Roman" w:eastAsia="SimSun" w:hAnsi="Times New Roman" w:cs="Times New Roman"/>
        <w:b/>
        <w:bCs/>
        <w:color w:val="E36C0A"/>
        <w:sz w:val="19"/>
        <w:szCs w:val="19"/>
        <w:shd w:val="clear" w:color="auto" w:fill="FFFFFF"/>
        <w:lang w:eastAsia="zh-CN"/>
      </w:rPr>
    </w:pPr>
    <w:r w:rsidRPr="0056197A">
      <w:rPr>
        <w:rFonts w:ascii="Times New Roman" w:eastAsia="SimSun" w:hAnsi="Times New Roman" w:cs="Times New Roman"/>
        <w:b/>
        <w:bCs/>
        <w:noProof/>
        <w:color w:val="002060"/>
        <w:sz w:val="22"/>
        <w:lang w:eastAsia="zh-CN"/>
      </w:rPr>
      <mc:AlternateContent>
        <mc:Choice Requires="wps">
          <w:drawing>
            <wp:anchor distT="0" distB="0" distL="114300" distR="114300" simplePos="0" relativeHeight="251676672" behindDoc="0" locked="0" layoutInCell="1" allowOverlap="1" wp14:anchorId="4CBFE3C8" wp14:editId="78924F90">
              <wp:simplePos x="0" y="0"/>
              <wp:positionH relativeFrom="column">
                <wp:posOffset>5920105</wp:posOffset>
              </wp:positionH>
              <wp:positionV relativeFrom="paragraph">
                <wp:posOffset>20638</wp:posOffset>
              </wp:positionV>
              <wp:extent cx="0" cy="274320"/>
              <wp:effectExtent l="19050" t="0" r="19050" b="30480"/>
              <wp:wrapNone/>
              <wp:docPr id="1391717248" name="Straight Connector 2"/>
              <wp:cNvGraphicFramePr/>
              <a:graphic xmlns:a="http://schemas.openxmlformats.org/drawingml/2006/main">
                <a:graphicData uri="http://schemas.microsoft.com/office/word/2010/wordprocessingShape">
                  <wps:wsp>
                    <wps:cNvCnPr/>
                    <wps:spPr>
                      <a:xfrm>
                        <a:off x="0" y="0"/>
                        <a:ext cx="0" cy="274320"/>
                      </a:xfrm>
                      <a:prstGeom prst="line">
                        <a:avLst/>
                      </a:prstGeom>
                      <a:noFill/>
                      <a:ln w="28575" cap="flat" cmpd="sng" algn="ctr">
                        <a:solidFill>
                          <a:srgbClr val="00206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FE00F31" id="Straight Connector 2"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6.15pt,1.65pt" to="466.1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" strokecolor="#002060" strokeweight="2.25pt"/>
          </w:pict>
        </mc:Fallback>
      </mc:AlternateContent>
    </w:r>
    <w:r w:rsidRPr="0056197A">
      <w:rPr>
        <w:rFonts w:ascii="Times New Roman" w:eastAsia="SimSun" w:hAnsi="Times New Roman" w:cs="Times New Roman"/>
        <w:b/>
        <w:bCs/>
        <w:noProof/>
        <w:color w:val="E36C0A"/>
        <w:sz w:val="19"/>
        <w:szCs w:val="19"/>
        <w:lang w:eastAsia="zh-CN"/>
      </w:rPr>
      <mc:AlternateContent>
        <mc:Choice Requires="wps">
          <w:drawing>
            <wp:anchor distT="45720" distB="45720" distL="114300" distR="114300" simplePos="0" relativeHeight="251675648" behindDoc="0" locked="0" layoutInCell="1" allowOverlap="1" wp14:anchorId="20033456" wp14:editId="35FB85CF">
              <wp:simplePos x="0" y="0"/>
              <wp:positionH relativeFrom="column">
                <wp:posOffset>5928360</wp:posOffset>
              </wp:positionH>
              <wp:positionV relativeFrom="paragraph">
                <wp:posOffset>7620</wp:posOffset>
              </wp:positionV>
              <wp:extent cx="543560" cy="297180"/>
              <wp:effectExtent l="0" t="0" r="0" b="0"/>
              <wp:wrapNone/>
              <wp:docPr id="5152448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 cy="297180"/>
                      </a:xfrm>
                      <a:prstGeom prst="rect">
                        <a:avLst/>
                      </a:prstGeom>
                      <a:noFill/>
                      <a:ln w="9525">
                        <a:noFill/>
                        <a:miter lim="800000"/>
                        <a:headEnd/>
                        <a:tailEnd/>
                      </a:ln>
                    </wps:spPr>
                    <wps:txbx>
                      <w:txbxContent>
                        <w:sdt>
                          <w:sdtPr>
                            <w:rPr>
                              <w:b/>
                              <w:bCs/>
                              <w:color w:val="002060"/>
                              <w:sz w:val="22"/>
                              <w:szCs w:val="24"/>
                            </w:rPr>
                            <w:id w:val="105161303"/>
                            <w:docPartObj>
                              <w:docPartGallery w:val="Page Numbers (Bottom of Page)"/>
                              <w:docPartUnique/>
                            </w:docPartObj>
                          </w:sdtPr>
                          <w:sdtContent>
                            <w:p w14:paraId="0CD3EE8E" w14:textId="77777777" w:rsidR="0056197A" w:rsidRPr="00D87EE5" w:rsidRDefault="0056197A" w:rsidP="0056197A">
                              <w:pPr>
                                <w:rPr>
                                  <w:b/>
                                  <w:bCs/>
                                  <w:color w:val="002060"/>
                                  <w:sz w:val="22"/>
                                  <w:szCs w:val="24"/>
                                </w:rPr>
                              </w:pPr>
                              <w:r w:rsidRPr="00D87EE5">
                                <w:rPr>
                                  <w:b/>
                                  <w:bCs/>
                                  <w:color w:val="002060"/>
                                  <w:sz w:val="22"/>
                                  <w:szCs w:val="24"/>
                                </w:rPr>
                                <w:fldChar w:fldCharType="begin"/>
                              </w:r>
                              <w:r w:rsidRPr="00D87EE5">
                                <w:rPr>
                                  <w:b/>
                                  <w:bCs/>
                                  <w:color w:val="002060"/>
                                  <w:sz w:val="22"/>
                                  <w:szCs w:val="24"/>
                                </w:rPr>
                                <w:instrText xml:space="preserve"> PAGE   \* MERGEFORMAT </w:instrText>
                              </w:r>
                              <w:r w:rsidRPr="00D87EE5">
                                <w:rPr>
                                  <w:b/>
                                  <w:bCs/>
                                  <w:color w:val="002060"/>
                                  <w:sz w:val="22"/>
                                  <w:szCs w:val="24"/>
                                </w:rPr>
                                <w:fldChar w:fldCharType="separate"/>
                              </w:r>
                              <w:r w:rsidRPr="00D87EE5">
                                <w:rPr>
                                  <w:b/>
                                  <w:bCs/>
                                  <w:color w:val="002060"/>
                                  <w:sz w:val="22"/>
                                  <w:szCs w:val="24"/>
                                </w:rPr>
                                <w:t>2</w:t>
                              </w:r>
                              <w:r w:rsidRPr="00D87EE5">
                                <w:rPr>
                                  <w:b/>
                                  <w:bCs/>
                                  <w:color w:val="002060"/>
                                  <w:sz w:val="22"/>
                                  <w:szCs w:val="24"/>
                                </w:rPr>
                                <w:fldChar w:fldCharType="end"/>
                              </w:r>
                            </w:p>
                            <w:p w14:paraId="39736F7D" w14:textId="77777777" w:rsidR="0056197A" w:rsidRPr="00D87EE5" w:rsidRDefault="00000000" w:rsidP="0056197A">
                              <w:pPr>
                                <w:rPr>
                                  <w:b/>
                                  <w:bCs/>
                                  <w:color w:val="002060"/>
                                  <w:sz w:val="22"/>
                                  <w:szCs w:val="24"/>
                                </w:rPr>
                              </w:pPr>
                            </w:p>
                          </w:sdtContent>
                        </w:sdt>
                        <w:p w14:paraId="1C88E734" w14:textId="77777777" w:rsidR="0056197A" w:rsidRPr="00D87EE5" w:rsidRDefault="0056197A" w:rsidP="0056197A">
                          <w:pPr>
                            <w:rPr>
                              <w:b/>
                              <w:bCs/>
                              <w:color w:val="002060"/>
                              <w:sz w:val="22"/>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033456" id="_x0000_t202" coordsize="21600,21600" o:spt="202" path="m,l,21600r21600,l21600,xe">
              <v:stroke joinstyle="miter"/>
              <v:path gradientshapeok="t" o:connecttype="rect"/>
            </v:shapetype>
            <v:shape id="_x0000_s1028" type="#_x0000_t202" style="position:absolute;left:0;text-align:left;margin-left:466.8pt;margin-top:.6pt;width:42.8pt;height:23.4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" filled="f" stroked="f">
              <v:textbox>
                <w:txbxContent>
                  <w:sdt>
                    <w:sdtPr>
                      <w:rPr>
                        <w:b/>
                        <w:bCs/>
                        <w:color w:val="002060"/>
                        <w:sz w:val="22"/>
                        <w:szCs w:val="24"/>
                      </w:rPr>
                      <w:id w:val="105161303"/>
                      <w:docPartObj>
                        <w:docPartGallery w:val="Page Numbers (Bottom of Page)"/>
                        <w:docPartUnique/>
                      </w:docPartObj>
                    </w:sdtPr>
                    <w:sdtEndPr/>
                    <w:sdtContent>
                      <w:p w14:paraId="0CD3EE8E" w14:textId="77777777" w:rsidR="0056197A" w:rsidRPr="00D87EE5" w:rsidRDefault="0056197A" w:rsidP="0056197A">
                        <w:pPr>
                          <w:rPr>
                            <w:b/>
                            <w:bCs/>
                            <w:color w:val="002060"/>
                            <w:sz w:val="22"/>
                            <w:szCs w:val="24"/>
                          </w:rPr>
                        </w:pPr>
                        <w:r w:rsidRPr="00D87EE5">
                          <w:rPr>
                            <w:b/>
                            <w:bCs/>
                            <w:color w:val="002060"/>
                            <w:sz w:val="22"/>
                            <w:szCs w:val="24"/>
                          </w:rPr>
                          <w:fldChar w:fldCharType="begin"/>
                        </w:r>
                        <w:r w:rsidRPr="00D87EE5">
                          <w:rPr>
                            <w:b/>
                            <w:bCs/>
                            <w:color w:val="002060"/>
                            <w:sz w:val="22"/>
                            <w:szCs w:val="24"/>
                          </w:rPr>
                          <w:instrText xml:space="preserve"> PAGE   \* MERGEFORMAT </w:instrText>
                        </w:r>
                        <w:r w:rsidRPr="00D87EE5">
                          <w:rPr>
                            <w:b/>
                            <w:bCs/>
                            <w:color w:val="002060"/>
                            <w:sz w:val="22"/>
                            <w:szCs w:val="24"/>
                          </w:rPr>
                          <w:fldChar w:fldCharType="separate"/>
                        </w:r>
                        <w:r w:rsidRPr="00D87EE5">
                          <w:rPr>
                            <w:b/>
                            <w:bCs/>
                            <w:color w:val="002060"/>
                            <w:sz w:val="22"/>
                            <w:szCs w:val="24"/>
                          </w:rPr>
                          <w:t>2</w:t>
                        </w:r>
                        <w:r w:rsidRPr="00D87EE5">
                          <w:rPr>
                            <w:b/>
                            <w:bCs/>
                            <w:color w:val="002060"/>
                            <w:sz w:val="22"/>
                            <w:szCs w:val="24"/>
                          </w:rPr>
                          <w:fldChar w:fldCharType="end"/>
                        </w:r>
                      </w:p>
                      <w:p w14:paraId="39736F7D" w14:textId="77777777" w:rsidR="0056197A" w:rsidRPr="00D87EE5" w:rsidRDefault="006478A4" w:rsidP="0056197A">
                        <w:pPr>
                          <w:rPr>
                            <w:b/>
                            <w:bCs/>
                            <w:color w:val="002060"/>
                            <w:sz w:val="22"/>
                            <w:szCs w:val="24"/>
                          </w:rPr>
                        </w:pPr>
                      </w:p>
                    </w:sdtContent>
                  </w:sdt>
                  <w:p w14:paraId="1C88E734" w14:textId="77777777" w:rsidR="0056197A" w:rsidRPr="00D87EE5" w:rsidRDefault="0056197A" w:rsidP="0056197A">
                    <w:pPr>
                      <w:rPr>
                        <w:b/>
                        <w:bCs/>
                        <w:color w:val="002060"/>
                        <w:sz w:val="22"/>
                        <w:szCs w:val="24"/>
                      </w:rPr>
                    </w:pPr>
                  </w:p>
                </w:txbxContent>
              </v:textbox>
            </v:shape>
          </w:pict>
        </mc:Fallback>
      </mc:AlternateContent>
    </w:r>
    <w:r w:rsidRPr="0056197A">
      <w:rPr>
        <w:rFonts w:ascii="Times New Roman" w:eastAsia="SimSun" w:hAnsi="Times New Roman" w:cs="Times New Roman"/>
        <w:b/>
        <w:bCs/>
        <w:color w:val="E36C0A"/>
        <w:sz w:val="19"/>
        <w:szCs w:val="19"/>
        <w:lang w:eastAsia="zh-CN"/>
      </w:rPr>
      <w:t>International Journal of Sustainability</w:t>
    </w:r>
    <w:r w:rsidRPr="0056197A">
      <w:rPr>
        <w:rFonts w:ascii="Times New Roman" w:eastAsia="SimSun" w:hAnsi="Times New Roman" w:cs="Times New Roman"/>
        <w:b/>
        <w:bCs/>
        <w:color w:val="E36C0A"/>
        <w:sz w:val="19"/>
        <w:szCs w:val="19"/>
        <w:shd w:val="clear" w:color="auto" w:fill="FFFFFF"/>
        <w:lang w:eastAsia="zh-CN"/>
      </w:rPr>
      <w:t xml:space="preserve"> </w:t>
    </w:r>
    <w:r w:rsidRPr="0056197A">
      <w:rPr>
        <w:rFonts w:ascii="Times New Roman" w:eastAsia="SimSun" w:hAnsi="Times New Roman" w:cs="Times New Roman"/>
        <w:b/>
        <w:bCs/>
        <w:color w:val="E36C0A"/>
        <w:sz w:val="19"/>
        <w:szCs w:val="19"/>
        <w:lang w:eastAsia="zh-CN"/>
      </w:rPr>
      <w:t>and Advanced Integrated Research</w:t>
    </w:r>
    <w:r w:rsidRPr="0056197A">
      <w:rPr>
        <w:rFonts w:ascii="Times New Roman" w:eastAsia="SimSun" w:hAnsi="Times New Roman" w:cs="Times New Roman"/>
        <w:b/>
        <w:bCs/>
        <w:color w:val="E36C0A"/>
        <w:sz w:val="19"/>
        <w:szCs w:val="19"/>
        <w:shd w:val="clear" w:color="auto" w:fill="FFFFFF"/>
        <w:lang w:eastAsia="zh-CN"/>
      </w:rPr>
      <w:t xml:space="preserve"> </w:t>
    </w:r>
  </w:p>
  <w:p w14:paraId="50B05CA7" w14:textId="77777777" w:rsidR="0056197A" w:rsidRPr="0056197A" w:rsidRDefault="0056197A" w:rsidP="0056197A">
    <w:pPr>
      <w:tabs>
        <w:tab w:val="center" w:pos="4680"/>
        <w:tab w:val="right" w:pos="9180"/>
      </w:tabs>
      <w:suppressAutoHyphens/>
      <w:spacing w:after="0" w:line="276" w:lineRule="auto"/>
      <w:ind w:right="569"/>
      <w:jc w:val="right"/>
      <w:rPr>
        <w:rFonts w:ascii="Times New Roman" w:eastAsia="SimSun" w:hAnsi="Times New Roman" w:cs="Times New Roman"/>
        <w:b/>
        <w:bCs/>
        <w:color w:val="4F6228"/>
        <w:sz w:val="19"/>
        <w:szCs w:val="19"/>
        <w:shd w:val="clear" w:color="auto" w:fill="FFFFFF"/>
        <w:lang w:eastAsia="zh-CN"/>
      </w:rPr>
    </w:pPr>
    <w:hyperlink r:id="rId1" w:history="1">
      <w:r w:rsidRPr="0056197A">
        <w:rPr>
          <w:rFonts w:ascii="Times New Roman" w:eastAsia="SimSun" w:hAnsi="Times New Roman" w:cs="Times New Roman"/>
          <w:color w:val="0000FF"/>
          <w:sz w:val="22"/>
          <w:u w:val="single"/>
          <w:lang w:eastAsia="zh-CN"/>
        </w:rPr>
        <w:t>https://ijsair.com/</w:t>
      </w:r>
    </w:hyperlink>
    <w:r w:rsidRPr="0056197A">
      <w:rPr>
        <w:rFonts w:ascii="Times New Roman" w:eastAsia="SimSun" w:hAnsi="Times New Roman" w:cs="Times New Roman"/>
        <w:b/>
        <w:bCs/>
        <w:color w:val="002060"/>
        <w:sz w:val="19"/>
        <w:szCs w:val="19"/>
        <w:lang w:eastAsia="zh-CN"/>
      </w:rPr>
      <w:t>| ISSN: 3107-7854</w:t>
    </w:r>
  </w:p>
  <w:bookmarkEnd w:id="36"/>
  <w:bookmarkEnd w:id="37"/>
  <w:bookmarkEnd w:id="38"/>
  <w:bookmarkEnd w:id="39"/>
  <w:bookmarkEnd w:id="40"/>
  <w:bookmarkEnd w:id="41"/>
  <w:p w14:paraId="148B5BA7" w14:textId="4EF31FF6" w:rsidR="00565E52" w:rsidRPr="0056197A" w:rsidRDefault="00565E52" w:rsidP="005619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716F6" w14:textId="77777777" w:rsidR="008A383A" w:rsidRPr="003D7BB2" w:rsidRDefault="008A383A" w:rsidP="005D1B76">
      <w:pPr>
        <w:pStyle w:val="WJS-k-CaptionsFiguresTables"/>
        <w:spacing w:before="0" w:after="0"/>
        <w:rPr>
          <w:sz w:val="19"/>
        </w:rPr>
      </w:pPr>
      <w:r>
        <w:separator/>
      </w:r>
    </w:p>
    <w:p w14:paraId="2BA8B309" w14:textId="77777777" w:rsidR="008A383A" w:rsidRDefault="008A383A"/>
  </w:footnote>
  <w:footnote w:type="continuationSeparator" w:id="0">
    <w:p w14:paraId="68A3F5A8" w14:textId="77777777" w:rsidR="008A383A" w:rsidRPr="003D7BB2" w:rsidRDefault="008A383A" w:rsidP="005D1B76">
      <w:pPr>
        <w:pStyle w:val="WJS-k-CaptionsFiguresTables"/>
        <w:spacing w:before="0" w:after="0"/>
        <w:rPr>
          <w:sz w:val="19"/>
        </w:rPr>
      </w:pPr>
      <w:r>
        <w:continuationSeparator/>
      </w:r>
    </w:p>
    <w:p w14:paraId="751417C1" w14:textId="77777777" w:rsidR="008A383A" w:rsidRDefault="008A38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val="0"/>
      </w:rPr>
      <w:id w:val="-1727977173"/>
      <w:docPartObj>
        <w:docPartGallery w:val="Page Numbers (Top of Page)"/>
        <w:docPartUnique/>
      </w:docPartObj>
    </w:sdtPr>
    <w:sdtEndPr>
      <w:rPr>
        <w:i/>
      </w:rPr>
    </w:sdtEndPr>
    <w:sdtContent>
      <w:p w14:paraId="68134089" w14:textId="77777777" w:rsidR="00565E52" w:rsidRPr="00FA25C1" w:rsidRDefault="00565E52" w:rsidP="00FA25C1">
        <w:pPr>
          <w:pStyle w:val="Header"/>
          <w:rPr>
            <w:i w:val="0"/>
            <w:iCs/>
            <w:szCs w:val="16"/>
          </w:rPr>
        </w:pPr>
      </w:p>
      <w:p w14:paraId="459FACFF" w14:textId="77777777" w:rsidR="00565E52" w:rsidRDefault="00000000">
        <w:pPr>
          <w:pStyle w:val="Header"/>
        </w:pPr>
      </w:p>
    </w:sdtContent>
  </w:sdt>
  <w:p w14:paraId="19BC9BB0" w14:textId="77777777" w:rsidR="00454625" w:rsidRDefault="0045462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B758E" w14:textId="77777777" w:rsidR="0056197A" w:rsidRPr="00F24648" w:rsidRDefault="0056197A" w:rsidP="0056197A">
    <w:pPr>
      <w:tabs>
        <w:tab w:val="center" w:pos="4680"/>
        <w:tab w:val="right" w:pos="9360"/>
      </w:tabs>
      <w:suppressAutoHyphens/>
      <w:spacing w:after="0" w:line="276" w:lineRule="auto"/>
      <w:jc w:val="center"/>
      <w:rPr>
        <w:rFonts w:ascii="Times New Roman" w:eastAsia="SimSun" w:hAnsi="Times New Roman" w:cs="Times New Roman"/>
        <w:b/>
        <w:bCs/>
        <w:color w:val="E36C0A"/>
        <w:sz w:val="24"/>
        <w:szCs w:val="24"/>
        <w:lang w:val="en-PH" w:eastAsia="zh-CN"/>
      </w:rPr>
    </w:pPr>
    <w:bookmarkStart w:id="2" w:name="_Hlk218939201"/>
    <w:bookmarkStart w:id="3" w:name="_Hlk218939202"/>
    <w:bookmarkStart w:id="4" w:name="_Hlk218939203"/>
    <w:bookmarkStart w:id="5" w:name="_Hlk218939204"/>
    <w:bookmarkStart w:id="6" w:name="_Hlk218939205"/>
    <w:bookmarkStart w:id="7" w:name="_Hlk218939206"/>
    <w:bookmarkStart w:id="8" w:name="_Hlk218939207"/>
    <w:bookmarkStart w:id="9" w:name="_Hlk218939208"/>
  </w:p>
  <w:p w14:paraId="4FF9B6A8" w14:textId="77777777" w:rsidR="0056197A" w:rsidRPr="00F24648" w:rsidRDefault="0056197A" w:rsidP="0056197A">
    <w:pPr>
      <w:tabs>
        <w:tab w:val="center" w:pos="4680"/>
        <w:tab w:val="right" w:pos="9360"/>
      </w:tabs>
      <w:suppressAutoHyphens/>
      <w:spacing w:after="0" w:line="276" w:lineRule="auto"/>
      <w:jc w:val="center"/>
      <w:rPr>
        <w:rFonts w:ascii="Times New Roman" w:eastAsia="SimSun" w:hAnsi="Times New Roman" w:cs="Times New Roman"/>
        <w:b/>
        <w:bCs/>
        <w:color w:val="984806"/>
        <w:sz w:val="22"/>
        <w:szCs w:val="20"/>
        <w:shd w:val="clear" w:color="auto" w:fill="FFFFFF"/>
        <w:lang w:val="en-PH" w:eastAsia="zh-CN"/>
      </w:rPr>
    </w:pPr>
    <w:r w:rsidRPr="00F24648">
      <w:rPr>
        <w:rFonts w:ascii="Times New Roman" w:eastAsia="SimSun" w:hAnsi="Times New Roman" w:cs="Times New Roman"/>
        <w:b/>
        <w:bCs/>
        <w:color w:val="E36C0A"/>
        <w:sz w:val="22"/>
        <w:szCs w:val="20"/>
        <w:lang w:val="en-PH" w:eastAsia="zh-CN"/>
      </w:rPr>
      <w:t>International Journal of Sustainability and</w:t>
    </w:r>
    <w:r w:rsidRPr="00F24648">
      <w:rPr>
        <w:rFonts w:ascii="Times New Roman" w:eastAsia="SimSun" w:hAnsi="Times New Roman" w:cs="Times New Roman"/>
        <w:b/>
        <w:bCs/>
        <w:color w:val="E36C0A"/>
        <w:sz w:val="22"/>
        <w:szCs w:val="20"/>
        <w:shd w:val="clear" w:color="auto" w:fill="FFFFFF"/>
        <w:lang w:val="en-PH" w:eastAsia="zh-CN"/>
      </w:rPr>
      <w:t xml:space="preserve"> </w:t>
    </w:r>
    <w:r w:rsidRPr="00F24648">
      <w:rPr>
        <w:rFonts w:ascii="Times New Roman" w:eastAsia="SimSun" w:hAnsi="Times New Roman" w:cs="Times New Roman"/>
        <w:b/>
        <w:bCs/>
        <w:color w:val="E36C0A"/>
        <w:sz w:val="22"/>
        <w:szCs w:val="20"/>
        <w:lang w:val="en-PH" w:eastAsia="zh-CN"/>
      </w:rPr>
      <w:t>Advanced Integrated Research</w:t>
    </w:r>
    <w:r w:rsidRPr="00F24648">
      <w:rPr>
        <w:rFonts w:ascii="Times New Roman" w:eastAsia="SimSun" w:hAnsi="Times New Roman" w:cs="Times New Roman"/>
        <w:b/>
        <w:bCs/>
        <w:color w:val="984806"/>
        <w:sz w:val="22"/>
        <w:szCs w:val="20"/>
        <w:shd w:val="clear" w:color="auto" w:fill="FFFFFF"/>
        <w:lang w:val="en-PH" w:eastAsia="zh-CN"/>
      </w:rPr>
      <w:t xml:space="preserve"> </w:t>
    </w:r>
  </w:p>
  <w:p w14:paraId="39E11E6D" w14:textId="77777777" w:rsidR="0056197A" w:rsidRPr="00653B99" w:rsidRDefault="0056197A" w:rsidP="0056197A">
    <w:pPr>
      <w:tabs>
        <w:tab w:val="center" w:pos="4680"/>
        <w:tab w:val="right" w:pos="9360"/>
      </w:tabs>
      <w:suppressAutoHyphens/>
      <w:spacing w:after="0" w:line="276" w:lineRule="auto"/>
      <w:jc w:val="center"/>
      <w:rPr>
        <w:rFonts w:ascii="Times New Roman" w:eastAsia="SimSun" w:hAnsi="Times New Roman" w:cs="Times New Roman"/>
        <w:b/>
        <w:bCs/>
        <w:color w:val="002060"/>
        <w:sz w:val="22"/>
        <w:szCs w:val="20"/>
        <w:shd w:val="clear" w:color="auto" w:fill="FFFFFF"/>
        <w:lang w:val="en-PH" w:eastAsia="zh-CN"/>
      </w:rPr>
    </w:pPr>
    <w:r w:rsidRPr="00F24648">
      <w:rPr>
        <w:rFonts w:ascii="Times New Roman" w:eastAsia="SimSun" w:hAnsi="Times New Roman" w:cs="Times New Roman"/>
        <w:b/>
        <w:bCs/>
        <w:color w:val="002060"/>
        <w:sz w:val="22"/>
        <w:szCs w:val="20"/>
        <w:lang w:val="en-PH" w:eastAsia="zh-CN"/>
      </w:rPr>
      <w:t>Volume 2, Issue 1 (January-March 2026) | ISSN: 3107-7854</w:t>
    </w:r>
    <w:bookmarkEnd w:id="2"/>
    <w:bookmarkEnd w:id="3"/>
    <w:bookmarkEnd w:id="4"/>
    <w:bookmarkEnd w:id="5"/>
    <w:bookmarkEnd w:id="6"/>
    <w:bookmarkEnd w:id="7"/>
    <w:bookmarkEnd w:id="8"/>
    <w:bookmarkEnd w:id="9"/>
  </w:p>
  <w:p w14:paraId="6D97276A" w14:textId="2ED6B2F0" w:rsidR="00D67A13" w:rsidRPr="0056197A" w:rsidRDefault="00D67A13" w:rsidP="0056197A">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0" w:name="_Hlk218939138"/>
  <w:bookmarkStart w:id="11" w:name="_Hlk218939139"/>
  <w:bookmarkStart w:id="12" w:name="_Hlk218939146"/>
  <w:bookmarkStart w:id="13" w:name="_Hlk218939147"/>
  <w:bookmarkStart w:id="14" w:name="_Hlk218939153"/>
  <w:bookmarkStart w:id="15" w:name="_Hlk218939154"/>
  <w:bookmarkStart w:id="16" w:name="_Hlk218939155"/>
  <w:bookmarkStart w:id="17" w:name="_Hlk218939156"/>
  <w:bookmarkStart w:id="18" w:name="_Hlk218939157"/>
  <w:bookmarkStart w:id="19" w:name="_Hlk218939158"/>
  <w:bookmarkStart w:id="20" w:name="_Hlk218939159"/>
  <w:bookmarkStart w:id="21" w:name="_Hlk218939160"/>
  <w:bookmarkStart w:id="22" w:name="_Hlk218939161"/>
  <w:bookmarkStart w:id="23" w:name="_Hlk218939162"/>
  <w:bookmarkStart w:id="24" w:name="_Hlk218939163"/>
  <w:bookmarkStart w:id="25" w:name="_Hlk218939164"/>
  <w:bookmarkStart w:id="26" w:name="_Hlk218939165"/>
  <w:bookmarkStart w:id="27" w:name="_Hlk218939166"/>
  <w:bookmarkStart w:id="28" w:name="_Hlk218939167"/>
  <w:bookmarkStart w:id="29" w:name="_Hlk218939168"/>
  <w:bookmarkStart w:id="30" w:name="_Hlk218939169"/>
  <w:bookmarkStart w:id="31" w:name="_Hlk218939170"/>
  <w:bookmarkStart w:id="32" w:name="_Hlk218939171"/>
  <w:bookmarkStart w:id="33" w:name="_Hlk218939172"/>
  <w:bookmarkStart w:id="34" w:name="_Hlk218939173"/>
  <w:bookmarkStart w:id="35" w:name="_Hlk218939174"/>
  <w:p w14:paraId="0416A899" w14:textId="77777777" w:rsidR="0056197A" w:rsidRPr="00F24648" w:rsidRDefault="0056197A" w:rsidP="0056197A">
    <w:pPr>
      <w:tabs>
        <w:tab w:val="center" w:pos="4680"/>
        <w:tab w:val="right" w:pos="9360"/>
      </w:tabs>
      <w:suppressAutoHyphens/>
      <w:spacing w:after="0" w:line="276" w:lineRule="auto"/>
      <w:jc w:val="center"/>
      <w:rPr>
        <w:rFonts w:ascii="Times New Roman" w:eastAsia="SimSun" w:hAnsi="Times New Roman" w:cs="Times New Roman"/>
        <w:b/>
        <w:bCs/>
        <w:color w:val="E36C0A"/>
        <w:sz w:val="24"/>
        <w:szCs w:val="24"/>
        <w:lang w:val="en-PH" w:eastAsia="zh-CN"/>
      </w:rPr>
    </w:pPr>
    <w:r w:rsidRPr="00F24648">
      <w:rPr>
        <w:rFonts w:ascii="Times New Roman" w:eastAsia="SimSun" w:hAnsi="Times New Roman" w:cs="Times New Roman"/>
        <w:b/>
        <w:bCs/>
        <w:noProof/>
        <w:color w:val="002060"/>
        <w:sz w:val="22"/>
        <w:szCs w:val="20"/>
        <w:lang w:val="en-PH" w:eastAsia="zh-CN"/>
      </w:rPr>
      <mc:AlternateContent>
        <mc:Choice Requires="wps">
          <w:drawing>
            <wp:anchor distT="0" distB="0" distL="114300" distR="114300" simplePos="0" relativeHeight="251672576" behindDoc="0" locked="0" layoutInCell="1" allowOverlap="1" wp14:anchorId="2E7F02BD" wp14:editId="5998CE12">
              <wp:simplePos x="0" y="0"/>
              <wp:positionH relativeFrom="column">
                <wp:posOffset>1070822</wp:posOffset>
              </wp:positionH>
              <wp:positionV relativeFrom="paragraph">
                <wp:posOffset>156845</wp:posOffset>
              </wp:positionV>
              <wp:extent cx="0" cy="457200"/>
              <wp:effectExtent l="0" t="0" r="38100" b="19050"/>
              <wp:wrapNone/>
              <wp:docPr id="1274762366" name="Straight Connector 2"/>
              <wp:cNvGraphicFramePr/>
              <a:graphic xmlns:a="http://schemas.openxmlformats.org/drawingml/2006/main">
                <a:graphicData uri="http://schemas.microsoft.com/office/word/2010/wordprocessingShape">
                  <wps:wsp>
                    <wps:cNvCnPr/>
                    <wps:spPr>
                      <a:xfrm>
                        <a:off x="0" y="0"/>
                        <a:ext cx="0" cy="457200"/>
                      </a:xfrm>
                      <a:prstGeom prst="line">
                        <a:avLst/>
                      </a:prstGeom>
                      <a:noFill/>
                      <a:ln w="12700" cap="flat" cmpd="sng" algn="ctr">
                        <a:solidFill>
                          <a:srgbClr val="00206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5BAB780" id="Straight Connector 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3pt,12.35pt" to="84.3pt,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" strokecolor="#002060" strokeweight="1pt"/>
          </w:pict>
        </mc:Fallback>
      </mc:AlternateContent>
    </w:r>
    <w:r w:rsidRPr="00F24648">
      <w:rPr>
        <w:rFonts w:ascii="Times New Roman" w:eastAsia="SimSun" w:hAnsi="Times New Roman" w:cs="Times New Roman"/>
        <w:b/>
        <w:bCs/>
        <w:noProof/>
        <w:color w:val="002060"/>
        <w:sz w:val="22"/>
        <w:szCs w:val="20"/>
        <w:lang w:val="en-PH" w:eastAsia="zh-CN"/>
      </w:rPr>
      <w:drawing>
        <wp:anchor distT="0" distB="0" distL="114300" distR="114300" simplePos="0" relativeHeight="251670528" behindDoc="0" locked="0" layoutInCell="1" allowOverlap="1" wp14:anchorId="56267855" wp14:editId="1CE32F05">
          <wp:simplePos x="0" y="0"/>
          <wp:positionH relativeFrom="column">
            <wp:posOffset>150919</wp:posOffset>
          </wp:positionH>
          <wp:positionV relativeFrom="paragraph">
            <wp:posOffset>-83185</wp:posOffset>
          </wp:positionV>
          <wp:extent cx="876300" cy="876300"/>
          <wp:effectExtent l="0" t="0" r="0" b="0"/>
          <wp:wrapNone/>
          <wp:docPr id="1087748254" name="Picture 1" descr="A logo with text and a glo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473582" name="Picture 1" descr="A logo with text and a glob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margin">
            <wp14:pctWidth>0</wp14:pctWidth>
          </wp14:sizeRelH>
          <wp14:sizeRelV relativeFrom="margin">
            <wp14:pctHeight>0</wp14:pctHeight>
          </wp14:sizeRelV>
        </wp:anchor>
      </w:drawing>
    </w:r>
  </w:p>
  <w:p w14:paraId="744E980C" w14:textId="77777777" w:rsidR="0056197A" w:rsidRPr="00F24648" w:rsidRDefault="0056197A" w:rsidP="0056197A">
    <w:pPr>
      <w:tabs>
        <w:tab w:val="center" w:pos="4680"/>
        <w:tab w:val="right" w:pos="9360"/>
      </w:tabs>
      <w:suppressAutoHyphens/>
      <w:spacing w:after="0" w:line="276" w:lineRule="auto"/>
      <w:ind w:left="1440"/>
      <w:rPr>
        <w:rFonts w:ascii="Times New Roman" w:eastAsia="SimSun" w:hAnsi="Times New Roman" w:cs="Times New Roman"/>
        <w:b/>
        <w:bCs/>
        <w:color w:val="E36C0A"/>
        <w:sz w:val="22"/>
        <w:szCs w:val="20"/>
        <w:shd w:val="clear" w:color="auto" w:fill="FFFFFF"/>
        <w:lang w:val="en-PH" w:eastAsia="zh-CN"/>
      </w:rPr>
    </w:pPr>
    <w:r w:rsidRPr="00F24648">
      <w:rPr>
        <w:rFonts w:ascii="Times New Roman" w:eastAsia="SimSun" w:hAnsi="Times New Roman" w:cs="Times New Roman"/>
        <w:b/>
        <w:bCs/>
        <w:noProof/>
        <w:color w:val="002060"/>
        <w:sz w:val="22"/>
        <w:szCs w:val="20"/>
        <w:lang w:val="en-PH" w:eastAsia="zh-CN"/>
      </w:rPr>
      <mc:AlternateContent>
        <mc:Choice Requires="wps">
          <w:drawing>
            <wp:anchor distT="0" distB="0" distL="114300" distR="114300" simplePos="0" relativeHeight="251671552" behindDoc="0" locked="0" layoutInCell="1" allowOverlap="1" wp14:anchorId="528F99FF" wp14:editId="6A13BAE7">
              <wp:simplePos x="0" y="0"/>
              <wp:positionH relativeFrom="column">
                <wp:posOffset>1099397</wp:posOffset>
              </wp:positionH>
              <wp:positionV relativeFrom="paragraph">
                <wp:posOffset>7620</wp:posOffset>
              </wp:positionV>
              <wp:extent cx="0" cy="365760"/>
              <wp:effectExtent l="0" t="0" r="38100" b="34290"/>
              <wp:wrapNone/>
              <wp:docPr id="569895778" name="Straight Connector 2"/>
              <wp:cNvGraphicFramePr/>
              <a:graphic xmlns:a="http://schemas.openxmlformats.org/drawingml/2006/main">
                <a:graphicData uri="http://schemas.microsoft.com/office/word/2010/wordprocessingShape">
                  <wps:wsp>
                    <wps:cNvCnPr/>
                    <wps:spPr>
                      <a:xfrm>
                        <a:off x="0" y="0"/>
                        <a:ext cx="0" cy="365760"/>
                      </a:xfrm>
                      <a:prstGeom prst="line">
                        <a:avLst/>
                      </a:prstGeom>
                      <a:noFill/>
                      <a:ln w="12700" cap="flat" cmpd="sng" algn="ctr">
                        <a:solidFill>
                          <a:srgbClr val="00206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A9AEA79" id="Straight Connector 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55pt,.6pt" to="86.5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" strokecolor="#002060" strokeweight="1pt"/>
          </w:pict>
        </mc:Fallback>
      </mc:AlternateContent>
    </w:r>
    <w:r w:rsidRPr="00F24648">
      <w:rPr>
        <w:rFonts w:ascii="Times New Roman" w:eastAsia="SimSun" w:hAnsi="Times New Roman" w:cs="Times New Roman"/>
        <w:b/>
        <w:bCs/>
        <w:color w:val="E36C0A"/>
        <w:sz w:val="22"/>
        <w:szCs w:val="20"/>
        <w:lang w:val="en-PH" w:eastAsia="zh-CN"/>
      </w:rPr>
      <w:tab/>
      <w:t xml:space="preserve">       </w:t>
    </w:r>
    <w:r w:rsidRPr="00F24648">
      <w:rPr>
        <w:rFonts w:ascii="Times New Roman" w:eastAsia="SimSun" w:hAnsi="Times New Roman" w:cs="Times New Roman"/>
        <w:b/>
        <w:bCs/>
        <w:color w:val="E36C0A"/>
        <w:sz w:val="24"/>
        <w:szCs w:val="24"/>
        <w:lang w:val="en-PH" w:eastAsia="zh-CN"/>
      </w:rPr>
      <w:t>International Journal of Sustainability</w:t>
    </w:r>
    <w:r w:rsidRPr="00F24648">
      <w:rPr>
        <w:rFonts w:ascii="Times New Roman" w:eastAsia="SimSun" w:hAnsi="Times New Roman" w:cs="Times New Roman"/>
        <w:b/>
        <w:bCs/>
        <w:color w:val="E36C0A"/>
        <w:sz w:val="24"/>
        <w:szCs w:val="24"/>
        <w:shd w:val="clear" w:color="auto" w:fill="FFFFFF"/>
        <w:lang w:val="en-PH" w:eastAsia="zh-CN"/>
      </w:rPr>
      <w:t xml:space="preserve"> </w:t>
    </w:r>
    <w:r w:rsidRPr="00F24648">
      <w:rPr>
        <w:rFonts w:ascii="Times New Roman" w:eastAsia="SimSun" w:hAnsi="Times New Roman" w:cs="Times New Roman"/>
        <w:b/>
        <w:bCs/>
        <w:color w:val="E36C0A"/>
        <w:sz w:val="24"/>
        <w:szCs w:val="24"/>
        <w:lang w:val="en-PH" w:eastAsia="zh-CN"/>
      </w:rPr>
      <w:t xml:space="preserve">and Advanced Integrated Research  </w:t>
    </w:r>
    <w:r w:rsidRPr="00F24648">
      <w:rPr>
        <w:rFonts w:ascii="Times New Roman" w:eastAsia="SimSun" w:hAnsi="Times New Roman" w:cs="Times New Roman"/>
        <w:b/>
        <w:bCs/>
        <w:color w:val="E36C0A"/>
        <w:sz w:val="24"/>
        <w:szCs w:val="24"/>
        <w:shd w:val="clear" w:color="auto" w:fill="FFFFFF"/>
        <w:lang w:val="en-PH" w:eastAsia="zh-CN"/>
      </w:rPr>
      <w:t xml:space="preserve"> </w:t>
    </w:r>
  </w:p>
  <w:p w14:paraId="062BF37B" w14:textId="77777777" w:rsidR="0056197A" w:rsidRPr="00F24648" w:rsidRDefault="0056197A" w:rsidP="0056197A">
    <w:pPr>
      <w:tabs>
        <w:tab w:val="center" w:pos="4680"/>
        <w:tab w:val="right" w:pos="9360"/>
      </w:tabs>
      <w:suppressAutoHyphens/>
      <w:spacing w:after="0" w:line="276" w:lineRule="auto"/>
      <w:ind w:left="1440"/>
      <w:rPr>
        <w:rFonts w:ascii="Times New Roman" w:eastAsia="SimSun" w:hAnsi="Times New Roman" w:cs="Times New Roman"/>
        <w:b/>
        <w:bCs/>
        <w:color w:val="4F6228"/>
        <w:sz w:val="22"/>
        <w:szCs w:val="20"/>
        <w:lang w:val="en-PH" w:eastAsia="zh-CN"/>
      </w:rPr>
    </w:pPr>
    <w:r w:rsidRPr="00F24648">
      <w:rPr>
        <w:rFonts w:ascii="Times New Roman" w:eastAsia="SimSun" w:hAnsi="Times New Roman" w:cs="Times New Roman"/>
        <w:b/>
        <w:bCs/>
        <w:noProof/>
        <w:color w:val="002060"/>
        <w:sz w:val="22"/>
        <w:szCs w:val="20"/>
        <w:lang w:val="en-PH" w:eastAsia="zh-CN"/>
      </w:rPr>
      <mc:AlternateContent>
        <mc:Choice Requires="wps">
          <w:drawing>
            <wp:anchor distT="45720" distB="45720" distL="114300" distR="114300" simplePos="0" relativeHeight="251673600" behindDoc="0" locked="0" layoutInCell="1" allowOverlap="1" wp14:anchorId="11F62602" wp14:editId="2B1CD865">
              <wp:simplePos x="0" y="0"/>
              <wp:positionH relativeFrom="column">
                <wp:posOffset>1037289</wp:posOffset>
              </wp:positionH>
              <wp:positionV relativeFrom="paragraph">
                <wp:posOffset>114762</wp:posOffset>
              </wp:positionV>
              <wp:extent cx="3340100" cy="320040"/>
              <wp:effectExtent l="0" t="0" r="0" b="3810"/>
              <wp:wrapNone/>
              <wp:docPr id="850362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0" cy="320040"/>
                      </a:xfrm>
                      <a:prstGeom prst="rect">
                        <a:avLst/>
                      </a:prstGeom>
                      <a:noFill/>
                      <a:ln w="9525">
                        <a:noFill/>
                        <a:miter lim="800000"/>
                        <a:headEnd/>
                        <a:tailEnd/>
                      </a:ln>
                    </wps:spPr>
                    <wps:txbx>
                      <w:txbxContent>
                        <w:p w14:paraId="132B6D8E" w14:textId="57BD4696" w:rsidR="0056197A" w:rsidRPr="006D27A3" w:rsidRDefault="0056197A" w:rsidP="0056197A">
                          <w:r w:rsidRPr="006D27A3">
                            <w:rPr>
                              <w:i/>
                              <w:vertAlign w:val="superscript"/>
                            </w:rPr>
                            <w:t xml:space="preserve">  </w:t>
                          </w:r>
                          <w:r w:rsidRPr="001810C6">
                            <w:t>DOI: </w:t>
                          </w:r>
                          <w:hyperlink r:id="rId2" w:history="1">
                            <w:r w:rsidR="00620593" w:rsidRPr="00AA58E9">
                              <w:rPr>
                                <w:rStyle w:val="Hyperlink"/>
                              </w:rPr>
                              <w:t>https://doi.org/10.65339/ijsair.V2.I1.96</w:t>
                            </w:r>
                          </w:hyperlink>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F62602" id="_x0000_t202" coordsize="21600,21600" o:spt="202" path="m,l,21600r21600,l21600,xe">
              <v:stroke joinstyle="miter"/>
              <v:path gradientshapeok="t" o:connecttype="rect"/>
            </v:shapetype>
            <v:shape id="_x0000_s1027" type="#_x0000_t202" style="position:absolute;left:0;text-align:left;margin-left:81.7pt;margin-top:9.05pt;width:263pt;height:25.2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" filled="f" stroked="f">
              <v:textbox>
                <w:txbxContent>
                  <w:p w14:paraId="132B6D8E" w14:textId="57BD4696" w:rsidR="0056197A" w:rsidRPr="006D27A3" w:rsidRDefault="0056197A" w:rsidP="0056197A">
                    <w:r w:rsidRPr="006D27A3">
                      <w:rPr>
                        <w:i/>
                        <w:vertAlign w:val="superscript"/>
                      </w:rPr>
                      <w:t xml:space="preserve">  </w:t>
                    </w:r>
                    <w:r w:rsidRPr="001810C6">
                      <w:t>DOI: </w:t>
                    </w:r>
                    <w:hyperlink r:id="rId3" w:history="1">
                      <w:r w:rsidR="00620593" w:rsidRPr="00AA58E9">
                        <w:rPr>
                          <w:rStyle w:val="Hyperlink"/>
                        </w:rPr>
                        <w:t>https://doi.org/10.65339/ijsair.V2.I1.96</w:t>
                      </w:r>
                    </w:hyperlink>
                    <w:r>
                      <w:t xml:space="preserve">   </w:t>
                    </w:r>
                  </w:p>
                </w:txbxContent>
              </v:textbox>
            </v:shape>
          </w:pict>
        </mc:Fallback>
      </mc:AlternateContent>
    </w:r>
    <w:r w:rsidRPr="00F24648">
      <w:rPr>
        <w:rFonts w:ascii="Times New Roman" w:eastAsia="SimSun" w:hAnsi="Times New Roman" w:cs="Times New Roman"/>
        <w:b/>
        <w:bCs/>
        <w:color w:val="002060"/>
        <w:sz w:val="22"/>
        <w:szCs w:val="20"/>
        <w:lang w:val="en-PH" w:eastAsia="zh-CN"/>
      </w:rPr>
      <w:t xml:space="preserve">       Volume 2, Issue 1 (January-March 2026) | ISSN: 3107-7854</w:t>
    </w:r>
  </w:p>
  <w:p w14:paraId="548E568B" w14:textId="4600E136" w:rsidR="00D67A13" w:rsidRPr="0056197A" w:rsidRDefault="0056197A" w:rsidP="0056197A">
    <w:pPr>
      <w:tabs>
        <w:tab w:val="center" w:pos="4680"/>
        <w:tab w:val="right" w:pos="9360"/>
      </w:tabs>
      <w:suppressAutoHyphens/>
      <w:spacing w:after="0" w:line="276" w:lineRule="auto"/>
      <w:rPr>
        <w:rFonts w:ascii="Times New Roman" w:eastAsia="SimSun" w:hAnsi="Times New Roman" w:cs="Times New Roman"/>
        <w:b/>
        <w:bCs/>
        <w:color w:val="002060"/>
        <w:sz w:val="22"/>
        <w:szCs w:val="20"/>
        <w:lang w:val="en-PH" w:eastAsia="zh-CN"/>
      </w:rPr>
    </w:pPr>
    <w:r w:rsidRPr="00F24648">
      <w:rPr>
        <w:rFonts w:ascii="Times New Roman" w:eastAsia="SimSun" w:hAnsi="Times New Roman" w:cs="Times New Roman"/>
        <w:b/>
        <w:bCs/>
        <w:color w:val="002060"/>
        <w:sz w:val="22"/>
        <w:szCs w:val="20"/>
        <w:lang w:val="en-PH" w:eastAsia="zh-CN"/>
      </w:rPr>
      <w:t>________________________________________________________________________________________</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52A1"/>
    <w:multiLevelType w:val="multilevel"/>
    <w:tmpl w:val="532066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8FE30FD"/>
    <w:multiLevelType w:val="hybridMultilevel"/>
    <w:tmpl w:val="2EF6145E"/>
    <w:lvl w:ilvl="0" w:tplc="C6042AA2">
      <w:start w:val="1"/>
      <w:numFmt w:val="decimal"/>
      <w:pStyle w:val="WJS-t-References"/>
      <w:lvlText w:val="[%1]"/>
      <w:lvlJc w:val="left"/>
      <w:pPr>
        <w:ind w:left="720" w:hanging="360"/>
      </w:pPr>
      <w:rPr>
        <w:rFonts w:ascii="Cambria" w:hAnsi="Cambria"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DD213D"/>
    <w:multiLevelType w:val="hybridMultilevel"/>
    <w:tmpl w:val="CBEC9CF6"/>
    <w:lvl w:ilvl="0" w:tplc="757EF76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5C6643"/>
    <w:multiLevelType w:val="multilevel"/>
    <w:tmpl w:val="CF7693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9F4987"/>
    <w:multiLevelType w:val="multilevel"/>
    <w:tmpl w:val="2E76C1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5162DC0"/>
    <w:multiLevelType w:val="multilevel"/>
    <w:tmpl w:val="9F1A46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707787"/>
    <w:multiLevelType w:val="multilevel"/>
    <w:tmpl w:val="9C7474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CC90D8F"/>
    <w:multiLevelType w:val="multilevel"/>
    <w:tmpl w:val="CF881D2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E281F21"/>
    <w:multiLevelType w:val="hybridMultilevel"/>
    <w:tmpl w:val="C0A4C60E"/>
    <w:lvl w:ilvl="0" w:tplc="1ECE509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1573F5B"/>
    <w:multiLevelType w:val="multilevel"/>
    <w:tmpl w:val="8FAC29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92F1E87"/>
    <w:multiLevelType w:val="hybridMultilevel"/>
    <w:tmpl w:val="A1BAC5D2"/>
    <w:lvl w:ilvl="0" w:tplc="A140BDA0">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4F43FD5"/>
    <w:multiLevelType w:val="hybridMultilevel"/>
    <w:tmpl w:val="78B899F2"/>
    <w:lvl w:ilvl="0" w:tplc="A912C90C">
      <w:start w:val="1"/>
      <w:numFmt w:val="decimal"/>
      <w:lvlText w:val="%1."/>
      <w:lvlJc w:val="left"/>
      <w:pPr>
        <w:ind w:left="360" w:hanging="360"/>
      </w:pPr>
      <w:rPr>
        <w:rFonts w:ascii="Times New Roman" w:hAnsi="Times New Roman" w:hint="default"/>
        <w:b w:val="0"/>
        <w:i w:val="0"/>
        <w:caps w:val="0"/>
        <w:vanish w:val="0"/>
        <w:spacing w:val="0"/>
        <w:position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0119C7"/>
    <w:multiLevelType w:val="multilevel"/>
    <w:tmpl w:val="1EA4F0F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5C90E41"/>
    <w:multiLevelType w:val="multilevel"/>
    <w:tmpl w:val="1EB44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C6768C"/>
    <w:multiLevelType w:val="hybridMultilevel"/>
    <w:tmpl w:val="3FD05D00"/>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48757680"/>
    <w:multiLevelType w:val="multilevel"/>
    <w:tmpl w:val="CDF01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4A4AFC"/>
    <w:multiLevelType w:val="hybridMultilevel"/>
    <w:tmpl w:val="A1BAC5D2"/>
    <w:lvl w:ilvl="0" w:tplc="A140BDA0">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069112E"/>
    <w:multiLevelType w:val="multilevel"/>
    <w:tmpl w:val="AE8CACEE"/>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30A7F29"/>
    <w:multiLevelType w:val="hybridMultilevel"/>
    <w:tmpl w:val="2DDE2508"/>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9" w15:restartNumberingAfterBreak="0">
    <w:nsid w:val="55DE5B38"/>
    <w:multiLevelType w:val="multilevel"/>
    <w:tmpl w:val="967A29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0E1C70"/>
    <w:multiLevelType w:val="hybridMultilevel"/>
    <w:tmpl w:val="49105C82"/>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1" w15:restartNumberingAfterBreak="0">
    <w:nsid w:val="642A5BBD"/>
    <w:multiLevelType w:val="hybridMultilevel"/>
    <w:tmpl w:val="55DEA5C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2" w15:restartNumberingAfterBreak="0">
    <w:nsid w:val="6860698A"/>
    <w:multiLevelType w:val="multilevel"/>
    <w:tmpl w:val="2A1E11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FD5144B"/>
    <w:multiLevelType w:val="multilevel"/>
    <w:tmpl w:val="4AE48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E8B6F8B"/>
    <w:multiLevelType w:val="hybridMultilevel"/>
    <w:tmpl w:val="EC646646"/>
    <w:lvl w:ilvl="0" w:tplc="FE0A6DA0">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9233639">
    <w:abstractNumId w:val="11"/>
  </w:num>
  <w:num w:numId="2" w16cid:durableId="655767889">
    <w:abstractNumId w:val="16"/>
  </w:num>
  <w:num w:numId="3" w16cid:durableId="1677147221">
    <w:abstractNumId w:val="17"/>
  </w:num>
  <w:num w:numId="4" w16cid:durableId="446893437">
    <w:abstractNumId w:val="2"/>
  </w:num>
  <w:num w:numId="5" w16cid:durableId="1449861044">
    <w:abstractNumId w:val="10"/>
  </w:num>
  <w:num w:numId="6" w16cid:durableId="633021216">
    <w:abstractNumId w:val="1"/>
  </w:num>
  <w:num w:numId="7" w16cid:durableId="1660039275">
    <w:abstractNumId w:val="24"/>
  </w:num>
  <w:num w:numId="8" w16cid:durableId="586571525">
    <w:abstractNumId w:val="8"/>
  </w:num>
  <w:num w:numId="9" w16cid:durableId="285743100">
    <w:abstractNumId w:val="18"/>
  </w:num>
  <w:num w:numId="10" w16cid:durableId="1605966330">
    <w:abstractNumId w:val="21"/>
  </w:num>
  <w:num w:numId="11" w16cid:durableId="266934909">
    <w:abstractNumId w:val="13"/>
  </w:num>
  <w:num w:numId="12" w16cid:durableId="389888085">
    <w:abstractNumId w:val="14"/>
  </w:num>
  <w:num w:numId="13" w16cid:durableId="71777737">
    <w:abstractNumId w:val="20"/>
  </w:num>
  <w:num w:numId="14" w16cid:durableId="2052143207">
    <w:abstractNumId w:val="15"/>
  </w:num>
  <w:num w:numId="15" w16cid:durableId="1721439272">
    <w:abstractNumId w:val="4"/>
  </w:num>
  <w:num w:numId="16" w16cid:durableId="386758563">
    <w:abstractNumId w:val="5"/>
  </w:num>
  <w:num w:numId="17" w16cid:durableId="151527504">
    <w:abstractNumId w:val="3"/>
  </w:num>
  <w:num w:numId="18" w16cid:durableId="1041830699">
    <w:abstractNumId w:val="9"/>
  </w:num>
  <w:num w:numId="19" w16cid:durableId="1411656035">
    <w:abstractNumId w:val="6"/>
  </w:num>
  <w:num w:numId="20" w16cid:durableId="2042510945">
    <w:abstractNumId w:val="7"/>
  </w:num>
  <w:num w:numId="21" w16cid:durableId="915936279">
    <w:abstractNumId w:val="12"/>
  </w:num>
  <w:num w:numId="22" w16cid:durableId="602610634">
    <w:abstractNumId w:val="22"/>
  </w:num>
  <w:num w:numId="23" w16cid:durableId="900673267">
    <w:abstractNumId w:val="0"/>
  </w:num>
  <w:num w:numId="24" w16cid:durableId="1332953142">
    <w:abstractNumId w:val="23"/>
  </w:num>
  <w:num w:numId="25" w16cid:durableId="84806331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attachedTemplate r:id="rId1"/>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C64"/>
    <w:rsid w:val="00003DDF"/>
    <w:rsid w:val="0002171C"/>
    <w:rsid w:val="00022C1A"/>
    <w:rsid w:val="00024987"/>
    <w:rsid w:val="0008004B"/>
    <w:rsid w:val="00081C85"/>
    <w:rsid w:val="000905E9"/>
    <w:rsid w:val="00090928"/>
    <w:rsid w:val="0009268F"/>
    <w:rsid w:val="000A0C4D"/>
    <w:rsid w:val="000A1760"/>
    <w:rsid w:val="000B18B7"/>
    <w:rsid w:val="000B34C1"/>
    <w:rsid w:val="000B4B31"/>
    <w:rsid w:val="000B5612"/>
    <w:rsid w:val="000B6FA2"/>
    <w:rsid w:val="000C0AAC"/>
    <w:rsid w:val="000D0505"/>
    <w:rsid w:val="000D6DBB"/>
    <w:rsid w:val="000E11D7"/>
    <w:rsid w:val="000E3176"/>
    <w:rsid w:val="000E3B0F"/>
    <w:rsid w:val="000E5688"/>
    <w:rsid w:val="000F4111"/>
    <w:rsid w:val="000F6521"/>
    <w:rsid w:val="00102967"/>
    <w:rsid w:val="00104ACC"/>
    <w:rsid w:val="0011251F"/>
    <w:rsid w:val="00120FE3"/>
    <w:rsid w:val="0013279F"/>
    <w:rsid w:val="00143D82"/>
    <w:rsid w:val="00157441"/>
    <w:rsid w:val="00160712"/>
    <w:rsid w:val="00164F55"/>
    <w:rsid w:val="00175F39"/>
    <w:rsid w:val="00177D20"/>
    <w:rsid w:val="00185EBF"/>
    <w:rsid w:val="00190913"/>
    <w:rsid w:val="001A251A"/>
    <w:rsid w:val="001A533E"/>
    <w:rsid w:val="001A6A67"/>
    <w:rsid w:val="001A79C6"/>
    <w:rsid w:val="001B0756"/>
    <w:rsid w:val="001B543C"/>
    <w:rsid w:val="001B61AF"/>
    <w:rsid w:val="001C17C7"/>
    <w:rsid w:val="001C3851"/>
    <w:rsid w:val="001E6358"/>
    <w:rsid w:val="00203004"/>
    <w:rsid w:val="002158B2"/>
    <w:rsid w:val="0021721C"/>
    <w:rsid w:val="00217B5A"/>
    <w:rsid w:val="002226BA"/>
    <w:rsid w:val="00223E06"/>
    <w:rsid w:val="00225D1E"/>
    <w:rsid w:val="00230482"/>
    <w:rsid w:val="002336DC"/>
    <w:rsid w:val="00246005"/>
    <w:rsid w:val="0025756E"/>
    <w:rsid w:val="002644E1"/>
    <w:rsid w:val="00284645"/>
    <w:rsid w:val="0028626F"/>
    <w:rsid w:val="00294CA8"/>
    <w:rsid w:val="002B1001"/>
    <w:rsid w:val="002B3435"/>
    <w:rsid w:val="002B6A01"/>
    <w:rsid w:val="002D5C64"/>
    <w:rsid w:val="002D7B21"/>
    <w:rsid w:val="002E2812"/>
    <w:rsid w:val="002E3348"/>
    <w:rsid w:val="002E7D0D"/>
    <w:rsid w:val="002F21FA"/>
    <w:rsid w:val="002F70FF"/>
    <w:rsid w:val="00301275"/>
    <w:rsid w:val="00301383"/>
    <w:rsid w:val="0030322A"/>
    <w:rsid w:val="00304BBC"/>
    <w:rsid w:val="003059A2"/>
    <w:rsid w:val="00312C01"/>
    <w:rsid w:val="00313DCE"/>
    <w:rsid w:val="00314CAF"/>
    <w:rsid w:val="00316D09"/>
    <w:rsid w:val="00321144"/>
    <w:rsid w:val="0032304F"/>
    <w:rsid w:val="00334224"/>
    <w:rsid w:val="00341014"/>
    <w:rsid w:val="003413C3"/>
    <w:rsid w:val="0034143A"/>
    <w:rsid w:val="0034176B"/>
    <w:rsid w:val="0034318D"/>
    <w:rsid w:val="00343F0C"/>
    <w:rsid w:val="00357452"/>
    <w:rsid w:val="00366C73"/>
    <w:rsid w:val="003678B9"/>
    <w:rsid w:val="00367B9B"/>
    <w:rsid w:val="00372422"/>
    <w:rsid w:val="00377B02"/>
    <w:rsid w:val="003836C2"/>
    <w:rsid w:val="003846D5"/>
    <w:rsid w:val="00386029"/>
    <w:rsid w:val="00386C5A"/>
    <w:rsid w:val="00397909"/>
    <w:rsid w:val="003A40B4"/>
    <w:rsid w:val="003B7479"/>
    <w:rsid w:val="003C6513"/>
    <w:rsid w:val="003D217D"/>
    <w:rsid w:val="003D5AF6"/>
    <w:rsid w:val="003F506D"/>
    <w:rsid w:val="004011C3"/>
    <w:rsid w:val="00407289"/>
    <w:rsid w:val="00407C0C"/>
    <w:rsid w:val="00425954"/>
    <w:rsid w:val="00434CAB"/>
    <w:rsid w:val="004425D6"/>
    <w:rsid w:val="0044633C"/>
    <w:rsid w:val="00454625"/>
    <w:rsid w:val="00455E58"/>
    <w:rsid w:val="004572E8"/>
    <w:rsid w:val="00460429"/>
    <w:rsid w:val="004721B1"/>
    <w:rsid w:val="0047382C"/>
    <w:rsid w:val="004772A1"/>
    <w:rsid w:val="004844C5"/>
    <w:rsid w:val="00486E99"/>
    <w:rsid w:val="004903EB"/>
    <w:rsid w:val="004B1D8C"/>
    <w:rsid w:val="004C2847"/>
    <w:rsid w:val="004C493D"/>
    <w:rsid w:val="004C5AE9"/>
    <w:rsid w:val="004C6329"/>
    <w:rsid w:val="004D2093"/>
    <w:rsid w:val="004D4CE3"/>
    <w:rsid w:val="004D70F1"/>
    <w:rsid w:val="004E5294"/>
    <w:rsid w:val="004F016C"/>
    <w:rsid w:val="004F3452"/>
    <w:rsid w:val="004F76F0"/>
    <w:rsid w:val="00506BE7"/>
    <w:rsid w:val="00510AB0"/>
    <w:rsid w:val="00510DE1"/>
    <w:rsid w:val="00513583"/>
    <w:rsid w:val="005146C8"/>
    <w:rsid w:val="0052284C"/>
    <w:rsid w:val="00531FAF"/>
    <w:rsid w:val="0054789B"/>
    <w:rsid w:val="00560E27"/>
    <w:rsid w:val="0056197A"/>
    <w:rsid w:val="00565E52"/>
    <w:rsid w:val="00573D1D"/>
    <w:rsid w:val="00580AD9"/>
    <w:rsid w:val="005850CB"/>
    <w:rsid w:val="005908F1"/>
    <w:rsid w:val="00595547"/>
    <w:rsid w:val="005A0434"/>
    <w:rsid w:val="005A5996"/>
    <w:rsid w:val="005B12FF"/>
    <w:rsid w:val="005C0D2B"/>
    <w:rsid w:val="005C1AB2"/>
    <w:rsid w:val="005C1FD9"/>
    <w:rsid w:val="005C39F3"/>
    <w:rsid w:val="005C7AB3"/>
    <w:rsid w:val="005D1B76"/>
    <w:rsid w:val="005D2256"/>
    <w:rsid w:val="005D525B"/>
    <w:rsid w:val="005D5D19"/>
    <w:rsid w:val="005E1AED"/>
    <w:rsid w:val="005E20D0"/>
    <w:rsid w:val="005E4435"/>
    <w:rsid w:val="005E7082"/>
    <w:rsid w:val="005F3583"/>
    <w:rsid w:val="005F547F"/>
    <w:rsid w:val="00600AB9"/>
    <w:rsid w:val="00602A48"/>
    <w:rsid w:val="006057F6"/>
    <w:rsid w:val="006131FC"/>
    <w:rsid w:val="00620593"/>
    <w:rsid w:val="006225B0"/>
    <w:rsid w:val="00634BDC"/>
    <w:rsid w:val="00634D37"/>
    <w:rsid w:val="00635592"/>
    <w:rsid w:val="006360D6"/>
    <w:rsid w:val="00640B04"/>
    <w:rsid w:val="00647C19"/>
    <w:rsid w:val="00653AFB"/>
    <w:rsid w:val="00657048"/>
    <w:rsid w:val="00665706"/>
    <w:rsid w:val="006732D4"/>
    <w:rsid w:val="00682AFB"/>
    <w:rsid w:val="00684AD7"/>
    <w:rsid w:val="0069175B"/>
    <w:rsid w:val="006A6F3A"/>
    <w:rsid w:val="006B1E56"/>
    <w:rsid w:val="006D747C"/>
    <w:rsid w:val="006D7AFB"/>
    <w:rsid w:val="006E25F2"/>
    <w:rsid w:val="006E438D"/>
    <w:rsid w:val="006F226D"/>
    <w:rsid w:val="0070006C"/>
    <w:rsid w:val="00707040"/>
    <w:rsid w:val="007149F0"/>
    <w:rsid w:val="00716BEA"/>
    <w:rsid w:val="0073051D"/>
    <w:rsid w:val="0073632D"/>
    <w:rsid w:val="00736D6E"/>
    <w:rsid w:val="00756E90"/>
    <w:rsid w:val="0076100D"/>
    <w:rsid w:val="00765F5E"/>
    <w:rsid w:val="00777D32"/>
    <w:rsid w:val="007A4E9B"/>
    <w:rsid w:val="007B50EF"/>
    <w:rsid w:val="007C52E5"/>
    <w:rsid w:val="007D29AC"/>
    <w:rsid w:val="007D7F43"/>
    <w:rsid w:val="007E33D8"/>
    <w:rsid w:val="007E7B92"/>
    <w:rsid w:val="007F30DD"/>
    <w:rsid w:val="007F685D"/>
    <w:rsid w:val="007F68FC"/>
    <w:rsid w:val="00807A5B"/>
    <w:rsid w:val="00814C2A"/>
    <w:rsid w:val="008259C2"/>
    <w:rsid w:val="00826A71"/>
    <w:rsid w:val="008332D6"/>
    <w:rsid w:val="00835F56"/>
    <w:rsid w:val="00855F1D"/>
    <w:rsid w:val="00872542"/>
    <w:rsid w:val="008815BC"/>
    <w:rsid w:val="00881CA8"/>
    <w:rsid w:val="00881EE2"/>
    <w:rsid w:val="008A19FE"/>
    <w:rsid w:val="008A383A"/>
    <w:rsid w:val="008A413C"/>
    <w:rsid w:val="008A59B2"/>
    <w:rsid w:val="008B590C"/>
    <w:rsid w:val="008C1F1E"/>
    <w:rsid w:val="008C462E"/>
    <w:rsid w:val="008C536F"/>
    <w:rsid w:val="008D653F"/>
    <w:rsid w:val="008E5940"/>
    <w:rsid w:val="008E6365"/>
    <w:rsid w:val="00901B3C"/>
    <w:rsid w:val="00903B8A"/>
    <w:rsid w:val="0090547B"/>
    <w:rsid w:val="00907BD2"/>
    <w:rsid w:val="0092371E"/>
    <w:rsid w:val="00925D51"/>
    <w:rsid w:val="00931BF1"/>
    <w:rsid w:val="00933C11"/>
    <w:rsid w:val="00935D44"/>
    <w:rsid w:val="0093775B"/>
    <w:rsid w:val="00943726"/>
    <w:rsid w:val="00960F31"/>
    <w:rsid w:val="0096610E"/>
    <w:rsid w:val="0097316A"/>
    <w:rsid w:val="009818E8"/>
    <w:rsid w:val="0099059F"/>
    <w:rsid w:val="009930FD"/>
    <w:rsid w:val="00997431"/>
    <w:rsid w:val="009A4BE0"/>
    <w:rsid w:val="009A58A7"/>
    <w:rsid w:val="009B379E"/>
    <w:rsid w:val="009C0CA3"/>
    <w:rsid w:val="009D6CDD"/>
    <w:rsid w:val="009E016C"/>
    <w:rsid w:val="009E2530"/>
    <w:rsid w:val="009F32E8"/>
    <w:rsid w:val="009F72F7"/>
    <w:rsid w:val="00A04377"/>
    <w:rsid w:val="00A251EF"/>
    <w:rsid w:val="00A27CEC"/>
    <w:rsid w:val="00A36477"/>
    <w:rsid w:val="00A40899"/>
    <w:rsid w:val="00A44E2B"/>
    <w:rsid w:val="00A511FC"/>
    <w:rsid w:val="00A629CF"/>
    <w:rsid w:val="00A70447"/>
    <w:rsid w:val="00A71616"/>
    <w:rsid w:val="00A902A8"/>
    <w:rsid w:val="00A95601"/>
    <w:rsid w:val="00AA4964"/>
    <w:rsid w:val="00AB23A4"/>
    <w:rsid w:val="00AB3DB2"/>
    <w:rsid w:val="00AB680A"/>
    <w:rsid w:val="00AC03AD"/>
    <w:rsid w:val="00AD746F"/>
    <w:rsid w:val="00AD7F37"/>
    <w:rsid w:val="00AE4DAF"/>
    <w:rsid w:val="00B042A9"/>
    <w:rsid w:val="00B06B47"/>
    <w:rsid w:val="00B073BA"/>
    <w:rsid w:val="00B17C3A"/>
    <w:rsid w:val="00B2276B"/>
    <w:rsid w:val="00B2744F"/>
    <w:rsid w:val="00B33BD7"/>
    <w:rsid w:val="00B35778"/>
    <w:rsid w:val="00B363E9"/>
    <w:rsid w:val="00B37F49"/>
    <w:rsid w:val="00B40214"/>
    <w:rsid w:val="00B47F41"/>
    <w:rsid w:val="00B53096"/>
    <w:rsid w:val="00B56310"/>
    <w:rsid w:val="00B648CA"/>
    <w:rsid w:val="00B75506"/>
    <w:rsid w:val="00B86828"/>
    <w:rsid w:val="00B903A3"/>
    <w:rsid w:val="00B95731"/>
    <w:rsid w:val="00BA1A88"/>
    <w:rsid w:val="00BA2F29"/>
    <w:rsid w:val="00BA656D"/>
    <w:rsid w:val="00BB67F0"/>
    <w:rsid w:val="00BC36A1"/>
    <w:rsid w:val="00BC39C8"/>
    <w:rsid w:val="00BC5CB0"/>
    <w:rsid w:val="00BD6B73"/>
    <w:rsid w:val="00BE0219"/>
    <w:rsid w:val="00BE7C98"/>
    <w:rsid w:val="00BF283A"/>
    <w:rsid w:val="00BF4326"/>
    <w:rsid w:val="00C05A10"/>
    <w:rsid w:val="00C10992"/>
    <w:rsid w:val="00C239FE"/>
    <w:rsid w:val="00C262A2"/>
    <w:rsid w:val="00C26ACA"/>
    <w:rsid w:val="00C30EF8"/>
    <w:rsid w:val="00C32A48"/>
    <w:rsid w:val="00C3424E"/>
    <w:rsid w:val="00C439AA"/>
    <w:rsid w:val="00C476FF"/>
    <w:rsid w:val="00C6041C"/>
    <w:rsid w:val="00C65FC3"/>
    <w:rsid w:val="00C74478"/>
    <w:rsid w:val="00C77AD0"/>
    <w:rsid w:val="00C845A9"/>
    <w:rsid w:val="00C90689"/>
    <w:rsid w:val="00C95E85"/>
    <w:rsid w:val="00CB3FA9"/>
    <w:rsid w:val="00CC1C6A"/>
    <w:rsid w:val="00CE0634"/>
    <w:rsid w:val="00D04BD5"/>
    <w:rsid w:val="00D05550"/>
    <w:rsid w:val="00D17100"/>
    <w:rsid w:val="00D17465"/>
    <w:rsid w:val="00D20A29"/>
    <w:rsid w:val="00D216E8"/>
    <w:rsid w:val="00D31E76"/>
    <w:rsid w:val="00D415B7"/>
    <w:rsid w:val="00D52A44"/>
    <w:rsid w:val="00D54CE3"/>
    <w:rsid w:val="00D6089C"/>
    <w:rsid w:val="00D6546C"/>
    <w:rsid w:val="00D66609"/>
    <w:rsid w:val="00D67A13"/>
    <w:rsid w:val="00D71C45"/>
    <w:rsid w:val="00D87EE5"/>
    <w:rsid w:val="00D91FA1"/>
    <w:rsid w:val="00D95E59"/>
    <w:rsid w:val="00D970B2"/>
    <w:rsid w:val="00DA281F"/>
    <w:rsid w:val="00DA5540"/>
    <w:rsid w:val="00DB24E2"/>
    <w:rsid w:val="00DB33B0"/>
    <w:rsid w:val="00DB5E1A"/>
    <w:rsid w:val="00DB71A0"/>
    <w:rsid w:val="00DC5306"/>
    <w:rsid w:val="00DD268C"/>
    <w:rsid w:val="00DF18B1"/>
    <w:rsid w:val="00DF3565"/>
    <w:rsid w:val="00DF5A96"/>
    <w:rsid w:val="00E053AC"/>
    <w:rsid w:val="00E10301"/>
    <w:rsid w:val="00E21E7F"/>
    <w:rsid w:val="00E320A8"/>
    <w:rsid w:val="00E33342"/>
    <w:rsid w:val="00E36237"/>
    <w:rsid w:val="00E37D83"/>
    <w:rsid w:val="00E42D55"/>
    <w:rsid w:val="00E5014E"/>
    <w:rsid w:val="00E74EEE"/>
    <w:rsid w:val="00E8084A"/>
    <w:rsid w:val="00E85D1B"/>
    <w:rsid w:val="00E870CE"/>
    <w:rsid w:val="00E87EE1"/>
    <w:rsid w:val="00E92C1F"/>
    <w:rsid w:val="00E95D38"/>
    <w:rsid w:val="00EB122D"/>
    <w:rsid w:val="00EB712F"/>
    <w:rsid w:val="00EC4F63"/>
    <w:rsid w:val="00EC5EB7"/>
    <w:rsid w:val="00ED1428"/>
    <w:rsid w:val="00ED5056"/>
    <w:rsid w:val="00ED7B29"/>
    <w:rsid w:val="00EE5388"/>
    <w:rsid w:val="00EE6DAC"/>
    <w:rsid w:val="00EF7260"/>
    <w:rsid w:val="00F03294"/>
    <w:rsid w:val="00F04EA5"/>
    <w:rsid w:val="00F05C1E"/>
    <w:rsid w:val="00F1723F"/>
    <w:rsid w:val="00F21FE9"/>
    <w:rsid w:val="00F23FFA"/>
    <w:rsid w:val="00F268FD"/>
    <w:rsid w:val="00F310CE"/>
    <w:rsid w:val="00F51F02"/>
    <w:rsid w:val="00F52503"/>
    <w:rsid w:val="00F52813"/>
    <w:rsid w:val="00F5472C"/>
    <w:rsid w:val="00F6052B"/>
    <w:rsid w:val="00F611D4"/>
    <w:rsid w:val="00F62982"/>
    <w:rsid w:val="00F6368D"/>
    <w:rsid w:val="00F65C60"/>
    <w:rsid w:val="00F841CB"/>
    <w:rsid w:val="00F9165C"/>
    <w:rsid w:val="00F92A22"/>
    <w:rsid w:val="00F948C2"/>
    <w:rsid w:val="00F960F1"/>
    <w:rsid w:val="00FA25C1"/>
    <w:rsid w:val="00FA2C65"/>
    <w:rsid w:val="00FB13FF"/>
    <w:rsid w:val="00FB143E"/>
    <w:rsid w:val="00FB2A37"/>
    <w:rsid w:val="00FB5E23"/>
    <w:rsid w:val="00FC2226"/>
    <w:rsid w:val="00FC4F29"/>
    <w:rsid w:val="00FD457B"/>
    <w:rsid w:val="00FE11C0"/>
    <w:rsid w:val="00FE4709"/>
    <w:rsid w:val="00FE6AA6"/>
    <w:rsid w:val="00FF0706"/>
    <w:rsid w:val="00FF21CA"/>
    <w:rsid w:val="00FF70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42899D"/>
  <w15:docId w15:val="{16A7B205-B446-44EC-8D2C-CA1A8F7D7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EE5"/>
    <w:pPr>
      <w:jc w:val="both"/>
    </w:pPr>
    <w:rPr>
      <w:rFonts w:ascii="Cambria" w:hAnsi="Cambria"/>
      <w:sz w:val="20"/>
    </w:rPr>
  </w:style>
  <w:style w:type="paragraph" w:styleId="Heading1">
    <w:name w:val="heading 1"/>
    <w:aliases w:val="WJS Heading level 1"/>
    <w:basedOn w:val="Normal"/>
    <w:next w:val="Normal"/>
    <w:link w:val="Heading1Char"/>
    <w:autoRedefine/>
    <w:uiPriority w:val="9"/>
    <w:qFormat/>
    <w:rsid w:val="000B4B31"/>
    <w:pPr>
      <w:keepNext/>
      <w:numPr>
        <w:numId w:val="3"/>
      </w:numPr>
      <w:pBdr>
        <w:top w:val="single" w:sz="12" w:space="6" w:color="A6A6A6" w:themeColor="background1" w:themeShade="A6"/>
      </w:pBdr>
      <w:spacing w:after="0"/>
      <w:jc w:val="left"/>
      <w:outlineLvl w:val="0"/>
    </w:pPr>
    <w:rPr>
      <w:rFonts w:ascii="Times New Roman" w:eastAsia="Times New Roman" w:hAnsi="Times New Roman" w:cs="Times New Roman"/>
      <w:b/>
      <w:bCs/>
      <w:color w:val="984806" w:themeColor="accent6" w:themeShade="80"/>
      <w:sz w:val="22"/>
      <w:szCs w:val="20"/>
      <w:lang w:val="en-GB"/>
    </w:rPr>
  </w:style>
  <w:style w:type="paragraph" w:styleId="Heading2">
    <w:name w:val="heading 2"/>
    <w:aliases w:val="WJS Heading level 2"/>
    <w:basedOn w:val="Normal"/>
    <w:next w:val="Normal"/>
    <w:link w:val="Heading2Char"/>
    <w:uiPriority w:val="9"/>
    <w:unhideWhenUsed/>
    <w:qFormat/>
    <w:rsid w:val="00E320A8"/>
    <w:pPr>
      <w:numPr>
        <w:ilvl w:val="1"/>
        <w:numId w:val="3"/>
      </w:numPr>
      <w:spacing w:before="240" w:after="120"/>
      <w:jc w:val="left"/>
      <w:outlineLvl w:val="1"/>
    </w:pPr>
    <w:rPr>
      <w:rFonts w:eastAsia="Times New Roman" w:cs="Times New Roman"/>
      <w:b/>
      <w:bCs/>
      <w:szCs w:val="20"/>
    </w:rPr>
  </w:style>
  <w:style w:type="paragraph" w:styleId="Heading3">
    <w:name w:val="heading 3"/>
    <w:aliases w:val="WJS Heading level 3"/>
    <w:basedOn w:val="Normal"/>
    <w:next w:val="Normal"/>
    <w:link w:val="Heading3Char"/>
    <w:autoRedefine/>
    <w:uiPriority w:val="9"/>
    <w:unhideWhenUsed/>
    <w:qFormat/>
    <w:rsid w:val="00E320A8"/>
    <w:pPr>
      <w:keepNext/>
      <w:keepLines/>
      <w:numPr>
        <w:ilvl w:val="2"/>
        <w:numId w:val="3"/>
      </w:numPr>
      <w:spacing w:before="200" w:after="120"/>
      <w:outlineLvl w:val="2"/>
    </w:pPr>
    <w:rPr>
      <w:rFonts w:eastAsiaTheme="majorEastAsia" w:cstheme="majorBidi"/>
      <w:bCs/>
      <w:i/>
      <w:szCs w:val="20"/>
    </w:rPr>
  </w:style>
  <w:style w:type="paragraph" w:styleId="Heading4">
    <w:name w:val="heading 4"/>
    <w:aliases w:val="WJS Heading level 4"/>
    <w:basedOn w:val="Normal"/>
    <w:next w:val="Normal"/>
    <w:link w:val="Heading4Char"/>
    <w:uiPriority w:val="9"/>
    <w:unhideWhenUsed/>
    <w:qFormat/>
    <w:rsid w:val="00E320A8"/>
    <w:pPr>
      <w:keepNext/>
      <w:keepLines/>
      <w:spacing w:before="240" w:after="120"/>
      <w:jc w:val="left"/>
      <w:outlineLvl w:val="3"/>
    </w:pPr>
    <w:rPr>
      <w:rFonts w:eastAsiaTheme="majorEastAsia" w:cstheme="majorBidi"/>
      <w:bCs/>
      <w:iCs/>
    </w:rPr>
  </w:style>
  <w:style w:type="paragraph" w:styleId="Heading6">
    <w:name w:val="heading 6"/>
    <w:basedOn w:val="Normal"/>
    <w:next w:val="Normal"/>
    <w:link w:val="Heading6Char"/>
    <w:uiPriority w:val="9"/>
    <w:semiHidden/>
    <w:unhideWhenUsed/>
    <w:qFormat/>
    <w:rsid w:val="00301275"/>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25C1"/>
    <w:pPr>
      <w:tabs>
        <w:tab w:val="center" w:pos="4680"/>
        <w:tab w:val="right" w:pos="9360"/>
      </w:tabs>
      <w:spacing w:after="0"/>
      <w:jc w:val="center"/>
    </w:pPr>
    <w:rPr>
      <w:i/>
    </w:rPr>
  </w:style>
  <w:style w:type="character" w:customStyle="1" w:styleId="HeaderChar">
    <w:name w:val="Header Char"/>
    <w:basedOn w:val="DefaultParagraphFont"/>
    <w:link w:val="Header"/>
    <w:uiPriority w:val="99"/>
    <w:rsid w:val="00FA25C1"/>
    <w:rPr>
      <w:rFonts w:ascii="Cambria" w:hAnsi="Cambria"/>
      <w:i/>
      <w:sz w:val="20"/>
    </w:rPr>
  </w:style>
  <w:style w:type="paragraph" w:styleId="Footer">
    <w:name w:val="footer"/>
    <w:basedOn w:val="Normal"/>
    <w:link w:val="FooterChar"/>
    <w:uiPriority w:val="99"/>
    <w:unhideWhenUsed/>
    <w:rsid w:val="005D1B76"/>
    <w:pPr>
      <w:tabs>
        <w:tab w:val="center" w:pos="4680"/>
        <w:tab w:val="right" w:pos="9360"/>
      </w:tabs>
      <w:spacing w:after="0"/>
    </w:pPr>
  </w:style>
  <w:style w:type="character" w:customStyle="1" w:styleId="FooterChar">
    <w:name w:val="Footer Char"/>
    <w:basedOn w:val="DefaultParagraphFont"/>
    <w:link w:val="Footer"/>
    <w:uiPriority w:val="99"/>
    <w:rsid w:val="005D1B76"/>
  </w:style>
  <w:style w:type="paragraph" w:customStyle="1" w:styleId="WJS-a-Articletype">
    <w:name w:val="WJS-a-Article type"/>
    <w:basedOn w:val="Normal"/>
    <w:next w:val="WJS-b-Articletitle"/>
    <w:qFormat/>
    <w:rsid w:val="00316D09"/>
    <w:rPr>
      <w:smallCaps/>
      <w:spacing w:val="20"/>
      <w:sz w:val="22"/>
    </w:rPr>
  </w:style>
  <w:style w:type="paragraph" w:customStyle="1" w:styleId="WJS-b-Articletitle">
    <w:name w:val="WJS-b-Article title"/>
    <w:next w:val="WJS-c-Authorsname"/>
    <w:qFormat/>
    <w:rsid w:val="00316D09"/>
    <w:pPr>
      <w:spacing w:before="240"/>
    </w:pPr>
    <w:rPr>
      <w:rFonts w:ascii="Cambria" w:hAnsi="Cambria"/>
      <w:sz w:val="28"/>
    </w:rPr>
  </w:style>
  <w:style w:type="paragraph" w:customStyle="1" w:styleId="WJS-c-Authorsname">
    <w:name w:val="WJS-c-Authors name"/>
    <w:basedOn w:val="WJS-b-Articletitle"/>
    <w:next w:val="WJS-d-Affiliations"/>
    <w:qFormat/>
    <w:rsid w:val="00513583"/>
    <w:pPr>
      <w:spacing w:before="0"/>
    </w:pPr>
    <w:rPr>
      <w:sz w:val="22"/>
    </w:rPr>
  </w:style>
  <w:style w:type="paragraph" w:customStyle="1" w:styleId="WJS-d-Affiliations">
    <w:name w:val="WJS-d-Affiliations"/>
    <w:basedOn w:val="WJS-c-Authorsname"/>
    <w:qFormat/>
    <w:rsid w:val="00185EBF"/>
    <w:pPr>
      <w:spacing w:after="0" w:line="240" w:lineRule="exact"/>
    </w:pPr>
    <w:rPr>
      <w:i/>
      <w:sz w:val="20"/>
    </w:rPr>
  </w:style>
  <w:style w:type="paragraph" w:customStyle="1" w:styleId="WJS-e-publicationhistory">
    <w:name w:val="WJS-e-publication history"/>
    <w:basedOn w:val="WJS-d-Affiliations"/>
    <w:next w:val="WJS-f-DOIinfo"/>
    <w:qFormat/>
    <w:rsid w:val="00185EBF"/>
    <w:pPr>
      <w:spacing w:before="240" w:after="240"/>
    </w:pPr>
    <w:rPr>
      <w:i w:val="0"/>
    </w:rPr>
  </w:style>
  <w:style w:type="paragraph" w:customStyle="1" w:styleId="WJS-f-DOIinfo">
    <w:name w:val="WJS-f-DOI info"/>
    <w:basedOn w:val="WJS-e-publicationhistory"/>
    <w:next w:val="WJS-h-Abstracttitle"/>
    <w:qFormat/>
    <w:rsid w:val="00FB5E23"/>
    <w:pPr>
      <w:spacing w:before="0" w:line="240" w:lineRule="auto"/>
    </w:pPr>
  </w:style>
  <w:style w:type="paragraph" w:customStyle="1" w:styleId="WJS-l-subheadingsnonumbering">
    <w:name w:val="WJS-l- sub headings no numbering"/>
    <w:basedOn w:val="Normal"/>
    <w:next w:val="Normal"/>
    <w:qFormat/>
    <w:rsid w:val="002226BA"/>
    <w:pPr>
      <w:spacing w:before="240" w:after="120"/>
      <w:jc w:val="left"/>
    </w:pPr>
    <w:rPr>
      <w:i/>
      <w:sz w:val="22"/>
    </w:rPr>
  </w:style>
  <w:style w:type="paragraph" w:customStyle="1" w:styleId="WJS-h-Abstracttitle">
    <w:name w:val="WJS-h-Abstract title"/>
    <w:basedOn w:val="WJS-f-DOIinfo"/>
    <w:next w:val="Normal"/>
    <w:qFormat/>
    <w:rsid w:val="009F72F7"/>
    <w:pPr>
      <w:pBdr>
        <w:top w:val="single" w:sz="12" w:space="5" w:color="A6A6A6" w:themeColor="background1" w:themeShade="A6"/>
      </w:pBdr>
      <w:spacing w:after="120"/>
    </w:pPr>
    <w:rPr>
      <w:b/>
      <w:sz w:val="22"/>
    </w:rPr>
  </w:style>
  <w:style w:type="table" w:styleId="TableGrid">
    <w:name w:val="Table Grid"/>
    <w:basedOn w:val="TableNormal"/>
    <w:uiPriority w:val="39"/>
    <w:rsid w:val="00185EBF"/>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WJS-j-Keywords">
    <w:name w:val="WJS-j-Keywords"/>
    <w:basedOn w:val="Normal"/>
    <w:qFormat/>
    <w:rsid w:val="005F547F"/>
    <w:rPr>
      <w:b/>
    </w:rPr>
  </w:style>
  <w:style w:type="paragraph" w:customStyle="1" w:styleId="WJS-m-citinginformationheading">
    <w:name w:val="WJS-m-citing information heading"/>
    <w:basedOn w:val="WJS-h-Abstracttitle"/>
    <w:next w:val="WJS-n-citingtext"/>
    <w:autoRedefine/>
    <w:qFormat/>
    <w:rsid w:val="00FA25C1"/>
    <w:pPr>
      <w:pBdr>
        <w:top w:val="single" w:sz="12" w:space="6" w:color="A6A6A6" w:themeColor="background1" w:themeShade="A6"/>
      </w:pBdr>
    </w:pPr>
  </w:style>
  <w:style w:type="character" w:customStyle="1" w:styleId="Heading1Char">
    <w:name w:val="Heading 1 Char"/>
    <w:aliases w:val="WJS Heading level 1 Char"/>
    <w:basedOn w:val="DefaultParagraphFont"/>
    <w:link w:val="Heading1"/>
    <w:uiPriority w:val="9"/>
    <w:rsid w:val="000B4B31"/>
    <w:rPr>
      <w:rFonts w:ascii="Times New Roman" w:eastAsia="Times New Roman" w:hAnsi="Times New Roman" w:cs="Times New Roman"/>
      <w:b/>
      <w:bCs/>
      <w:color w:val="984806" w:themeColor="accent6" w:themeShade="80"/>
      <w:szCs w:val="20"/>
      <w:lang w:val="en-GB"/>
    </w:rPr>
  </w:style>
  <w:style w:type="character" w:customStyle="1" w:styleId="Heading2Char">
    <w:name w:val="Heading 2 Char"/>
    <w:aliases w:val="WJS Heading level 2 Char"/>
    <w:basedOn w:val="DefaultParagraphFont"/>
    <w:link w:val="Heading2"/>
    <w:uiPriority w:val="9"/>
    <w:rsid w:val="00E320A8"/>
    <w:rPr>
      <w:rFonts w:ascii="Cambria" w:eastAsia="Times New Roman" w:hAnsi="Cambria" w:cs="Times New Roman"/>
      <w:b/>
      <w:bCs/>
      <w:sz w:val="20"/>
      <w:szCs w:val="20"/>
    </w:rPr>
  </w:style>
  <w:style w:type="character" w:customStyle="1" w:styleId="Heading3Char">
    <w:name w:val="Heading 3 Char"/>
    <w:aliases w:val="WJS Heading level 3 Char"/>
    <w:basedOn w:val="DefaultParagraphFont"/>
    <w:link w:val="Heading3"/>
    <w:uiPriority w:val="9"/>
    <w:rsid w:val="00E320A8"/>
    <w:rPr>
      <w:rFonts w:ascii="Cambria" w:eastAsiaTheme="majorEastAsia" w:hAnsi="Cambria" w:cstheme="majorBidi"/>
      <w:bCs/>
      <w:i/>
      <w:sz w:val="20"/>
      <w:szCs w:val="20"/>
    </w:rPr>
  </w:style>
  <w:style w:type="paragraph" w:customStyle="1" w:styleId="WJS-n-citingtext">
    <w:name w:val="WJS-n-citing text"/>
    <w:basedOn w:val="WJS-j-Keywords"/>
    <w:autoRedefine/>
    <w:qFormat/>
    <w:rsid w:val="00903B8A"/>
    <w:pPr>
      <w:pBdr>
        <w:bottom w:val="single" w:sz="12" w:space="6" w:color="A6A6A6" w:themeColor="background1" w:themeShade="A6"/>
      </w:pBdr>
      <w:spacing w:before="120" w:after="120"/>
    </w:pPr>
    <w:rPr>
      <w:b w:val="0"/>
    </w:rPr>
  </w:style>
  <w:style w:type="character" w:customStyle="1" w:styleId="Heading4Char">
    <w:name w:val="Heading 4 Char"/>
    <w:aliases w:val="WJS Heading level 4 Char"/>
    <w:basedOn w:val="DefaultParagraphFont"/>
    <w:link w:val="Heading4"/>
    <w:uiPriority w:val="9"/>
    <w:rsid w:val="00E320A8"/>
    <w:rPr>
      <w:rFonts w:ascii="Cambria" w:eastAsiaTheme="majorEastAsia" w:hAnsi="Cambria" w:cstheme="majorBidi"/>
      <w:bCs/>
      <w:iCs/>
      <w:sz w:val="20"/>
    </w:rPr>
  </w:style>
  <w:style w:type="paragraph" w:customStyle="1" w:styleId="WJS-t-References">
    <w:name w:val="WJS-t- References"/>
    <w:basedOn w:val="Normal"/>
    <w:qFormat/>
    <w:rsid w:val="00A251EF"/>
    <w:pPr>
      <w:numPr>
        <w:numId w:val="6"/>
      </w:numPr>
      <w:spacing w:after="120"/>
      <w:ind w:left="576" w:hanging="576"/>
    </w:pPr>
    <w:rPr>
      <w:rFonts w:eastAsia="Times New Roman" w:cs="Times New Roman"/>
      <w:szCs w:val="20"/>
    </w:rPr>
  </w:style>
  <w:style w:type="paragraph" w:customStyle="1" w:styleId="WJS-k-CaptionsFiguresTables">
    <w:name w:val="WJS-k-Captions Figures &amp; Tables"/>
    <w:basedOn w:val="Normal"/>
    <w:qFormat/>
    <w:rsid w:val="00223E06"/>
    <w:pPr>
      <w:keepNext/>
      <w:spacing w:before="120"/>
    </w:pPr>
    <w:rPr>
      <w:rFonts w:eastAsia="Times New Roman" w:cs="Times New Roman"/>
      <w:b/>
      <w:szCs w:val="20"/>
    </w:rPr>
  </w:style>
  <w:style w:type="character" w:styleId="Strong">
    <w:name w:val="Strong"/>
    <w:uiPriority w:val="22"/>
    <w:qFormat/>
    <w:rsid w:val="008A59B2"/>
  </w:style>
  <w:style w:type="paragraph" w:customStyle="1" w:styleId="WJS-o-headerotherpages">
    <w:name w:val="WJS-o-header other pages"/>
    <w:basedOn w:val="Header"/>
    <w:qFormat/>
    <w:rsid w:val="00F5472C"/>
    <w:pPr>
      <w:spacing w:after="120"/>
    </w:pPr>
  </w:style>
  <w:style w:type="paragraph" w:styleId="FootnoteText">
    <w:name w:val="footnote text"/>
    <w:basedOn w:val="Normal"/>
    <w:link w:val="FootnoteTextChar"/>
    <w:uiPriority w:val="99"/>
    <w:semiHidden/>
    <w:unhideWhenUsed/>
    <w:rsid w:val="00F5472C"/>
    <w:pPr>
      <w:spacing w:after="0"/>
    </w:pPr>
    <w:rPr>
      <w:szCs w:val="20"/>
    </w:rPr>
  </w:style>
  <w:style w:type="character" w:customStyle="1" w:styleId="FootnoteTextChar">
    <w:name w:val="Footnote Text Char"/>
    <w:basedOn w:val="DefaultParagraphFont"/>
    <w:link w:val="FootnoteText"/>
    <w:uiPriority w:val="99"/>
    <w:semiHidden/>
    <w:rsid w:val="00F5472C"/>
    <w:rPr>
      <w:rFonts w:ascii="Times New Roman" w:hAnsi="Times New Roman"/>
      <w:sz w:val="20"/>
      <w:szCs w:val="20"/>
    </w:rPr>
  </w:style>
  <w:style w:type="character" w:styleId="FootnoteReference">
    <w:name w:val="footnote reference"/>
    <w:basedOn w:val="DefaultParagraphFont"/>
    <w:semiHidden/>
    <w:unhideWhenUsed/>
    <w:rsid w:val="00F5472C"/>
    <w:rPr>
      <w:vertAlign w:val="superscript"/>
    </w:rPr>
  </w:style>
  <w:style w:type="character" w:styleId="Hyperlink">
    <w:name w:val="Hyperlink"/>
    <w:basedOn w:val="DefaultParagraphFont"/>
    <w:uiPriority w:val="99"/>
    <w:unhideWhenUsed/>
    <w:rsid w:val="00E320A8"/>
    <w:rPr>
      <w:rFonts w:ascii="Cambria" w:hAnsi="Cambria"/>
      <w:color w:val="0000FF" w:themeColor="hyperlink"/>
      <w:u w:val="single"/>
    </w:rPr>
  </w:style>
  <w:style w:type="paragraph" w:customStyle="1" w:styleId="WJS-p-Table">
    <w:name w:val="WJS-p-Table"/>
    <w:basedOn w:val="Normal"/>
    <w:qFormat/>
    <w:rsid w:val="00736D6E"/>
    <w:pPr>
      <w:spacing w:before="60" w:after="60"/>
    </w:pPr>
    <w:rPr>
      <w:lang w:val="en-GB"/>
    </w:rPr>
  </w:style>
  <w:style w:type="paragraph" w:customStyle="1" w:styleId="WJS-s-Footnoteforpage">
    <w:name w:val="WJS-s-Foot note for page"/>
    <w:basedOn w:val="Normal"/>
    <w:qFormat/>
    <w:rsid w:val="0076100D"/>
    <w:pPr>
      <w:pBdr>
        <w:top w:val="single" w:sz="4" w:space="1" w:color="auto"/>
      </w:pBdr>
      <w:spacing w:before="120" w:after="0"/>
      <w:contextualSpacing/>
      <w:jc w:val="left"/>
    </w:pPr>
    <w:rPr>
      <w:rFonts w:eastAsia="SimSun" w:cs="Times New Roman"/>
      <w:noProof/>
      <w:sz w:val="18"/>
      <w:szCs w:val="20"/>
    </w:rPr>
  </w:style>
  <w:style w:type="paragraph" w:styleId="Title">
    <w:name w:val="Title"/>
    <w:aliases w:val="Journal Title"/>
    <w:basedOn w:val="Normal"/>
    <w:next w:val="Normal"/>
    <w:link w:val="TitleChar"/>
    <w:uiPriority w:val="10"/>
    <w:qFormat/>
    <w:rsid w:val="009F72F7"/>
    <w:pPr>
      <w:tabs>
        <w:tab w:val="center" w:pos="4706"/>
        <w:tab w:val="right" w:pos="9356"/>
      </w:tabs>
      <w:spacing w:after="0" w:line="200" w:lineRule="atLeast"/>
      <w:jc w:val="center"/>
    </w:pPr>
    <w:rPr>
      <w:rFonts w:eastAsia="SimSun" w:cstheme="minorHAnsi"/>
      <w:iCs/>
      <w:noProof/>
      <w:sz w:val="36"/>
      <w:szCs w:val="36"/>
      <w:lang w:val="en-IN" w:eastAsia="en-IN"/>
    </w:rPr>
  </w:style>
  <w:style w:type="character" w:customStyle="1" w:styleId="TitleChar">
    <w:name w:val="Title Char"/>
    <w:aliases w:val="Journal Title Char"/>
    <w:basedOn w:val="DefaultParagraphFont"/>
    <w:link w:val="Title"/>
    <w:uiPriority w:val="10"/>
    <w:rsid w:val="009F72F7"/>
    <w:rPr>
      <w:rFonts w:ascii="Cambria" w:eastAsia="SimSun" w:hAnsi="Cambria" w:cstheme="minorHAnsi"/>
      <w:iCs/>
      <w:noProof/>
      <w:sz w:val="36"/>
      <w:szCs w:val="36"/>
      <w:lang w:val="en-IN" w:eastAsia="en-IN"/>
    </w:rPr>
  </w:style>
  <w:style w:type="paragraph" w:customStyle="1" w:styleId="WJS-q-Tablefootnote">
    <w:name w:val="WJS-q-Table footnote"/>
    <w:basedOn w:val="Normal"/>
    <w:qFormat/>
    <w:rsid w:val="00FA25C1"/>
    <w:pPr>
      <w:spacing w:after="0"/>
      <w:jc w:val="center"/>
    </w:pPr>
    <w:rPr>
      <w:sz w:val="16"/>
      <w:lang w:val="en-GB"/>
    </w:rPr>
  </w:style>
  <w:style w:type="paragraph" w:customStyle="1" w:styleId="WJS-l-Headingnonumbering">
    <w:name w:val="WJS-l- Heading no numbering"/>
    <w:basedOn w:val="Heading1"/>
    <w:qFormat/>
    <w:rsid w:val="007B50EF"/>
    <w:pPr>
      <w:numPr>
        <w:numId w:val="0"/>
      </w:numPr>
    </w:pPr>
  </w:style>
  <w:style w:type="paragraph" w:styleId="BalloonText">
    <w:name w:val="Balloon Text"/>
    <w:basedOn w:val="Normal"/>
    <w:link w:val="BalloonTextChar"/>
    <w:uiPriority w:val="99"/>
    <w:semiHidden/>
    <w:unhideWhenUsed/>
    <w:rsid w:val="0035745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7452"/>
    <w:rPr>
      <w:rFonts w:ascii="Tahoma" w:hAnsi="Tahoma" w:cs="Tahoma"/>
      <w:sz w:val="16"/>
      <w:szCs w:val="16"/>
    </w:rPr>
  </w:style>
  <w:style w:type="paragraph" w:customStyle="1" w:styleId="WJS-k-CaptionFigure">
    <w:name w:val="WJS-k-Caption Figure"/>
    <w:basedOn w:val="WJS-k-CaptionsFiguresTables"/>
    <w:qFormat/>
    <w:rsid w:val="00343F0C"/>
    <w:pPr>
      <w:jc w:val="center"/>
    </w:pPr>
    <w:rPr>
      <w:lang w:val="en-GB"/>
    </w:rPr>
  </w:style>
  <w:style w:type="paragraph" w:customStyle="1" w:styleId="WJS-r-Copyrightinfo">
    <w:name w:val="WJS-r-Copyright info"/>
    <w:basedOn w:val="WJS-q-Tablefootnote"/>
    <w:next w:val="Normal"/>
    <w:qFormat/>
    <w:rsid w:val="009F72F7"/>
    <w:pPr>
      <w:spacing w:before="120"/>
    </w:pPr>
    <w:rPr>
      <w:sz w:val="15"/>
    </w:rPr>
  </w:style>
  <w:style w:type="character" w:styleId="FollowedHyperlink">
    <w:name w:val="FollowedHyperlink"/>
    <w:basedOn w:val="DefaultParagraphFont"/>
    <w:uiPriority w:val="99"/>
    <w:semiHidden/>
    <w:unhideWhenUsed/>
    <w:rsid w:val="00B06B47"/>
    <w:rPr>
      <w:color w:val="800080" w:themeColor="followedHyperlink"/>
      <w:u w:val="single"/>
    </w:rPr>
  </w:style>
  <w:style w:type="paragraph" w:styleId="Bibliography">
    <w:name w:val="Bibliography"/>
    <w:basedOn w:val="Normal"/>
    <w:next w:val="Normal"/>
    <w:uiPriority w:val="37"/>
    <w:semiHidden/>
    <w:unhideWhenUsed/>
    <w:rsid w:val="00682AFB"/>
  </w:style>
  <w:style w:type="character" w:customStyle="1" w:styleId="UnresolvedMention1">
    <w:name w:val="Unresolved Mention1"/>
    <w:basedOn w:val="DefaultParagraphFont"/>
    <w:uiPriority w:val="99"/>
    <w:semiHidden/>
    <w:unhideWhenUsed/>
    <w:rsid w:val="0030322A"/>
    <w:rPr>
      <w:color w:val="605E5C"/>
      <w:shd w:val="clear" w:color="auto" w:fill="E1DFDD"/>
    </w:rPr>
  </w:style>
  <w:style w:type="paragraph" w:styleId="ListParagraph">
    <w:name w:val="List Paragraph"/>
    <w:basedOn w:val="Normal"/>
    <w:uiPriority w:val="34"/>
    <w:qFormat/>
    <w:rsid w:val="00D91FA1"/>
    <w:pPr>
      <w:ind w:left="720"/>
      <w:contextualSpacing/>
    </w:pPr>
  </w:style>
  <w:style w:type="character" w:customStyle="1" w:styleId="Heading6Char">
    <w:name w:val="Heading 6 Char"/>
    <w:basedOn w:val="DefaultParagraphFont"/>
    <w:link w:val="Heading6"/>
    <w:uiPriority w:val="9"/>
    <w:semiHidden/>
    <w:rsid w:val="00301275"/>
    <w:rPr>
      <w:rFonts w:asciiTheme="majorHAnsi" w:eastAsiaTheme="majorEastAsia" w:hAnsiTheme="majorHAnsi" w:cstheme="majorBidi"/>
      <w:color w:val="243F60" w:themeColor="accent1" w:themeShade="7F"/>
      <w:sz w:val="20"/>
    </w:rPr>
  </w:style>
  <w:style w:type="character" w:styleId="UnresolvedMention">
    <w:name w:val="Unresolved Mention"/>
    <w:basedOn w:val="DefaultParagraphFont"/>
    <w:uiPriority w:val="99"/>
    <w:semiHidden/>
    <w:unhideWhenUsed/>
    <w:rsid w:val="00377B02"/>
    <w:rPr>
      <w:color w:val="605E5C"/>
      <w:shd w:val="clear" w:color="auto" w:fill="E1DFDD"/>
    </w:rPr>
  </w:style>
  <w:style w:type="character" w:styleId="CommentReference">
    <w:name w:val="annotation reference"/>
    <w:basedOn w:val="DefaultParagraphFont"/>
    <w:uiPriority w:val="99"/>
    <w:semiHidden/>
    <w:unhideWhenUsed/>
    <w:rsid w:val="00A71616"/>
    <w:rPr>
      <w:sz w:val="16"/>
      <w:szCs w:val="16"/>
    </w:rPr>
  </w:style>
  <w:style w:type="paragraph" w:styleId="CommentText">
    <w:name w:val="annotation text"/>
    <w:basedOn w:val="Normal"/>
    <w:link w:val="CommentTextChar"/>
    <w:uiPriority w:val="99"/>
    <w:unhideWhenUsed/>
    <w:rsid w:val="00A71616"/>
    <w:rPr>
      <w:szCs w:val="20"/>
    </w:rPr>
  </w:style>
  <w:style w:type="character" w:customStyle="1" w:styleId="CommentTextChar">
    <w:name w:val="Comment Text Char"/>
    <w:basedOn w:val="DefaultParagraphFont"/>
    <w:link w:val="CommentText"/>
    <w:uiPriority w:val="99"/>
    <w:rsid w:val="00A71616"/>
    <w:rPr>
      <w:rFonts w:ascii="Cambria" w:hAnsi="Cambria"/>
      <w:sz w:val="20"/>
      <w:szCs w:val="20"/>
    </w:rPr>
  </w:style>
  <w:style w:type="paragraph" w:styleId="CommentSubject">
    <w:name w:val="annotation subject"/>
    <w:basedOn w:val="CommentText"/>
    <w:next w:val="CommentText"/>
    <w:link w:val="CommentSubjectChar"/>
    <w:uiPriority w:val="99"/>
    <w:semiHidden/>
    <w:unhideWhenUsed/>
    <w:rsid w:val="00A71616"/>
    <w:rPr>
      <w:b/>
      <w:bCs/>
    </w:rPr>
  </w:style>
  <w:style w:type="character" w:customStyle="1" w:styleId="CommentSubjectChar">
    <w:name w:val="Comment Subject Char"/>
    <w:basedOn w:val="CommentTextChar"/>
    <w:link w:val="CommentSubject"/>
    <w:uiPriority w:val="99"/>
    <w:semiHidden/>
    <w:rsid w:val="00A71616"/>
    <w:rPr>
      <w:rFonts w:ascii="Cambria" w:hAnsi="Cambria"/>
      <w:b/>
      <w:bCs/>
      <w:sz w:val="20"/>
      <w:szCs w:val="20"/>
    </w:rPr>
  </w:style>
  <w:style w:type="paragraph" w:styleId="NormalWeb">
    <w:name w:val="Normal (Web)"/>
    <w:basedOn w:val="Normal"/>
    <w:uiPriority w:val="99"/>
    <w:semiHidden/>
    <w:unhideWhenUsed/>
    <w:rsid w:val="00510AB0"/>
    <w:pPr>
      <w:spacing w:before="100" w:beforeAutospacing="1" w:after="100" w:afterAutospacing="1"/>
      <w:jc w:val="left"/>
    </w:pPr>
    <w:rPr>
      <w:rFonts w:ascii="Times New Roman" w:eastAsia="Times New Roman" w:hAnsi="Times New Roman" w:cs="Times New Roman"/>
      <w:sz w:val="24"/>
      <w:szCs w:val="24"/>
      <w:lang w:val="en-PH" w:eastAsia="en-PH"/>
    </w:rPr>
  </w:style>
  <w:style w:type="table" w:customStyle="1" w:styleId="TableGrid0">
    <w:name w:val="TableGrid"/>
    <w:rsid w:val="0002171C"/>
    <w:pPr>
      <w:spacing w:after="0"/>
    </w:pPr>
    <w:rPr>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8151">
      <w:bodyDiv w:val="1"/>
      <w:marLeft w:val="0"/>
      <w:marRight w:val="0"/>
      <w:marTop w:val="0"/>
      <w:marBottom w:val="0"/>
      <w:divBdr>
        <w:top w:val="none" w:sz="0" w:space="0" w:color="auto"/>
        <w:left w:val="none" w:sz="0" w:space="0" w:color="auto"/>
        <w:bottom w:val="none" w:sz="0" w:space="0" w:color="auto"/>
        <w:right w:val="none" w:sz="0" w:space="0" w:color="auto"/>
      </w:divBdr>
    </w:div>
    <w:div w:id="29764375">
      <w:bodyDiv w:val="1"/>
      <w:marLeft w:val="0"/>
      <w:marRight w:val="0"/>
      <w:marTop w:val="0"/>
      <w:marBottom w:val="0"/>
      <w:divBdr>
        <w:top w:val="none" w:sz="0" w:space="0" w:color="auto"/>
        <w:left w:val="none" w:sz="0" w:space="0" w:color="auto"/>
        <w:bottom w:val="none" w:sz="0" w:space="0" w:color="auto"/>
        <w:right w:val="none" w:sz="0" w:space="0" w:color="auto"/>
      </w:divBdr>
    </w:div>
    <w:div w:id="120614940">
      <w:bodyDiv w:val="1"/>
      <w:marLeft w:val="0"/>
      <w:marRight w:val="0"/>
      <w:marTop w:val="0"/>
      <w:marBottom w:val="0"/>
      <w:divBdr>
        <w:top w:val="none" w:sz="0" w:space="0" w:color="auto"/>
        <w:left w:val="none" w:sz="0" w:space="0" w:color="auto"/>
        <w:bottom w:val="none" w:sz="0" w:space="0" w:color="auto"/>
        <w:right w:val="none" w:sz="0" w:space="0" w:color="auto"/>
      </w:divBdr>
    </w:div>
    <w:div w:id="200093614">
      <w:bodyDiv w:val="1"/>
      <w:marLeft w:val="0"/>
      <w:marRight w:val="0"/>
      <w:marTop w:val="0"/>
      <w:marBottom w:val="0"/>
      <w:divBdr>
        <w:top w:val="none" w:sz="0" w:space="0" w:color="auto"/>
        <w:left w:val="none" w:sz="0" w:space="0" w:color="auto"/>
        <w:bottom w:val="none" w:sz="0" w:space="0" w:color="auto"/>
        <w:right w:val="none" w:sz="0" w:space="0" w:color="auto"/>
      </w:divBdr>
    </w:div>
    <w:div w:id="215237863">
      <w:bodyDiv w:val="1"/>
      <w:marLeft w:val="0"/>
      <w:marRight w:val="0"/>
      <w:marTop w:val="0"/>
      <w:marBottom w:val="0"/>
      <w:divBdr>
        <w:top w:val="none" w:sz="0" w:space="0" w:color="auto"/>
        <w:left w:val="none" w:sz="0" w:space="0" w:color="auto"/>
        <w:bottom w:val="none" w:sz="0" w:space="0" w:color="auto"/>
        <w:right w:val="none" w:sz="0" w:space="0" w:color="auto"/>
      </w:divBdr>
    </w:div>
    <w:div w:id="235212185">
      <w:bodyDiv w:val="1"/>
      <w:marLeft w:val="0"/>
      <w:marRight w:val="0"/>
      <w:marTop w:val="0"/>
      <w:marBottom w:val="0"/>
      <w:divBdr>
        <w:top w:val="none" w:sz="0" w:space="0" w:color="auto"/>
        <w:left w:val="none" w:sz="0" w:space="0" w:color="auto"/>
        <w:bottom w:val="none" w:sz="0" w:space="0" w:color="auto"/>
        <w:right w:val="none" w:sz="0" w:space="0" w:color="auto"/>
      </w:divBdr>
    </w:div>
    <w:div w:id="288433706">
      <w:bodyDiv w:val="1"/>
      <w:marLeft w:val="0"/>
      <w:marRight w:val="0"/>
      <w:marTop w:val="0"/>
      <w:marBottom w:val="0"/>
      <w:divBdr>
        <w:top w:val="none" w:sz="0" w:space="0" w:color="auto"/>
        <w:left w:val="none" w:sz="0" w:space="0" w:color="auto"/>
        <w:bottom w:val="none" w:sz="0" w:space="0" w:color="auto"/>
        <w:right w:val="none" w:sz="0" w:space="0" w:color="auto"/>
      </w:divBdr>
    </w:div>
    <w:div w:id="414320781">
      <w:bodyDiv w:val="1"/>
      <w:marLeft w:val="0"/>
      <w:marRight w:val="0"/>
      <w:marTop w:val="0"/>
      <w:marBottom w:val="0"/>
      <w:divBdr>
        <w:top w:val="none" w:sz="0" w:space="0" w:color="auto"/>
        <w:left w:val="none" w:sz="0" w:space="0" w:color="auto"/>
        <w:bottom w:val="none" w:sz="0" w:space="0" w:color="auto"/>
        <w:right w:val="none" w:sz="0" w:space="0" w:color="auto"/>
      </w:divBdr>
    </w:div>
    <w:div w:id="484129867">
      <w:bodyDiv w:val="1"/>
      <w:marLeft w:val="0"/>
      <w:marRight w:val="0"/>
      <w:marTop w:val="0"/>
      <w:marBottom w:val="0"/>
      <w:divBdr>
        <w:top w:val="none" w:sz="0" w:space="0" w:color="auto"/>
        <w:left w:val="none" w:sz="0" w:space="0" w:color="auto"/>
        <w:bottom w:val="none" w:sz="0" w:space="0" w:color="auto"/>
        <w:right w:val="none" w:sz="0" w:space="0" w:color="auto"/>
      </w:divBdr>
    </w:div>
    <w:div w:id="512381261">
      <w:bodyDiv w:val="1"/>
      <w:marLeft w:val="0"/>
      <w:marRight w:val="0"/>
      <w:marTop w:val="0"/>
      <w:marBottom w:val="0"/>
      <w:divBdr>
        <w:top w:val="none" w:sz="0" w:space="0" w:color="auto"/>
        <w:left w:val="none" w:sz="0" w:space="0" w:color="auto"/>
        <w:bottom w:val="none" w:sz="0" w:space="0" w:color="auto"/>
        <w:right w:val="none" w:sz="0" w:space="0" w:color="auto"/>
      </w:divBdr>
    </w:div>
    <w:div w:id="520899389">
      <w:bodyDiv w:val="1"/>
      <w:marLeft w:val="0"/>
      <w:marRight w:val="0"/>
      <w:marTop w:val="0"/>
      <w:marBottom w:val="0"/>
      <w:divBdr>
        <w:top w:val="none" w:sz="0" w:space="0" w:color="auto"/>
        <w:left w:val="none" w:sz="0" w:space="0" w:color="auto"/>
        <w:bottom w:val="none" w:sz="0" w:space="0" w:color="auto"/>
        <w:right w:val="none" w:sz="0" w:space="0" w:color="auto"/>
      </w:divBdr>
    </w:div>
    <w:div w:id="554582606">
      <w:bodyDiv w:val="1"/>
      <w:marLeft w:val="0"/>
      <w:marRight w:val="0"/>
      <w:marTop w:val="0"/>
      <w:marBottom w:val="0"/>
      <w:divBdr>
        <w:top w:val="none" w:sz="0" w:space="0" w:color="auto"/>
        <w:left w:val="none" w:sz="0" w:space="0" w:color="auto"/>
        <w:bottom w:val="none" w:sz="0" w:space="0" w:color="auto"/>
        <w:right w:val="none" w:sz="0" w:space="0" w:color="auto"/>
      </w:divBdr>
    </w:div>
    <w:div w:id="589853626">
      <w:bodyDiv w:val="1"/>
      <w:marLeft w:val="0"/>
      <w:marRight w:val="0"/>
      <w:marTop w:val="0"/>
      <w:marBottom w:val="0"/>
      <w:divBdr>
        <w:top w:val="none" w:sz="0" w:space="0" w:color="auto"/>
        <w:left w:val="none" w:sz="0" w:space="0" w:color="auto"/>
        <w:bottom w:val="none" w:sz="0" w:space="0" w:color="auto"/>
        <w:right w:val="none" w:sz="0" w:space="0" w:color="auto"/>
      </w:divBdr>
    </w:div>
    <w:div w:id="662590410">
      <w:bodyDiv w:val="1"/>
      <w:marLeft w:val="0"/>
      <w:marRight w:val="0"/>
      <w:marTop w:val="0"/>
      <w:marBottom w:val="0"/>
      <w:divBdr>
        <w:top w:val="none" w:sz="0" w:space="0" w:color="auto"/>
        <w:left w:val="none" w:sz="0" w:space="0" w:color="auto"/>
        <w:bottom w:val="none" w:sz="0" w:space="0" w:color="auto"/>
        <w:right w:val="none" w:sz="0" w:space="0" w:color="auto"/>
      </w:divBdr>
    </w:div>
    <w:div w:id="723286467">
      <w:bodyDiv w:val="1"/>
      <w:marLeft w:val="0"/>
      <w:marRight w:val="0"/>
      <w:marTop w:val="0"/>
      <w:marBottom w:val="0"/>
      <w:divBdr>
        <w:top w:val="none" w:sz="0" w:space="0" w:color="auto"/>
        <w:left w:val="none" w:sz="0" w:space="0" w:color="auto"/>
        <w:bottom w:val="none" w:sz="0" w:space="0" w:color="auto"/>
        <w:right w:val="none" w:sz="0" w:space="0" w:color="auto"/>
      </w:divBdr>
    </w:div>
    <w:div w:id="813565385">
      <w:bodyDiv w:val="1"/>
      <w:marLeft w:val="0"/>
      <w:marRight w:val="0"/>
      <w:marTop w:val="0"/>
      <w:marBottom w:val="0"/>
      <w:divBdr>
        <w:top w:val="none" w:sz="0" w:space="0" w:color="auto"/>
        <w:left w:val="none" w:sz="0" w:space="0" w:color="auto"/>
        <w:bottom w:val="none" w:sz="0" w:space="0" w:color="auto"/>
        <w:right w:val="none" w:sz="0" w:space="0" w:color="auto"/>
      </w:divBdr>
    </w:div>
    <w:div w:id="960838721">
      <w:bodyDiv w:val="1"/>
      <w:marLeft w:val="0"/>
      <w:marRight w:val="0"/>
      <w:marTop w:val="0"/>
      <w:marBottom w:val="0"/>
      <w:divBdr>
        <w:top w:val="none" w:sz="0" w:space="0" w:color="auto"/>
        <w:left w:val="none" w:sz="0" w:space="0" w:color="auto"/>
        <w:bottom w:val="none" w:sz="0" w:space="0" w:color="auto"/>
        <w:right w:val="none" w:sz="0" w:space="0" w:color="auto"/>
      </w:divBdr>
    </w:div>
    <w:div w:id="965084739">
      <w:bodyDiv w:val="1"/>
      <w:marLeft w:val="0"/>
      <w:marRight w:val="0"/>
      <w:marTop w:val="0"/>
      <w:marBottom w:val="0"/>
      <w:divBdr>
        <w:top w:val="none" w:sz="0" w:space="0" w:color="auto"/>
        <w:left w:val="none" w:sz="0" w:space="0" w:color="auto"/>
        <w:bottom w:val="none" w:sz="0" w:space="0" w:color="auto"/>
        <w:right w:val="none" w:sz="0" w:space="0" w:color="auto"/>
      </w:divBdr>
    </w:div>
    <w:div w:id="993023210">
      <w:bodyDiv w:val="1"/>
      <w:marLeft w:val="0"/>
      <w:marRight w:val="0"/>
      <w:marTop w:val="0"/>
      <w:marBottom w:val="0"/>
      <w:divBdr>
        <w:top w:val="none" w:sz="0" w:space="0" w:color="auto"/>
        <w:left w:val="none" w:sz="0" w:space="0" w:color="auto"/>
        <w:bottom w:val="none" w:sz="0" w:space="0" w:color="auto"/>
        <w:right w:val="none" w:sz="0" w:space="0" w:color="auto"/>
      </w:divBdr>
    </w:div>
    <w:div w:id="1120490513">
      <w:bodyDiv w:val="1"/>
      <w:marLeft w:val="0"/>
      <w:marRight w:val="0"/>
      <w:marTop w:val="0"/>
      <w:marBottom w:val="0"/>
      <w:divBdr>
        <w:top w:val="none" w:sz="0" w:space="0" w:color="auto"/>
        <w:left w:val="none" w:sz="0" w:space="0" w:color="auto"/>
        <w:bottom w:val="none" w:sz="0" w:space="0" w:color="auto"/>
        <w:right w:val="none" w:sz="0" w:space="0" w:color="auto"/>
      </w:divBdr>
    </w:div>
    <w:div w:id="1175464467">
      <w:bodyDiv w:val="1"/>
      <w:marLeft w:val="0"/>
      <w:marRight w:val="0"/>
      <w:marTop w:val="0"/>
      <w:marBottom w:val="0"/>
      <w:divBdr>
        <w:top w:val="none" w:sz="0" w:space="0" w:color="auto"/>
        <w:left w:val="none" w:sz="0" w:space="0" w:color="auto"/>
        <w:bottom w:val="none" w:sz="0" w:space="0" w:color="auto"/>
        <w:right w:val="none" w:sz="0" w:space="0" w:color="auto"/>
      </w:divBdr>
    </w:div>
    <w:div w:id="1183975616">
      <w:bodyDiv w:val="1"/>
      <w:marLeft w:val="0"/>
      <w:marRight w:val="0"/>
      <w:marTop w:val="0"/>
      <w:marBottom w:val="0"/>
      <w:divBdr>
        <w:top w:val="none" w:sz="0" w:space="0" w:color="auto"/>
        <w:left w:val="none" w:sz="0" w:space="0" w:color="auto"/>
        <w:bottom w:val="none" w:sz="0" w:space="0" w:color="auto"/>
        <w:right w:val="none" w:sz="0" w:space="0" w:color="auto"/>
      </w:divBdr>
    </w:div>
    <w:div w:id="1228609586">
      <w:bodyDiv w:val="1"/>
      <w:marLeft w:val="0"/>
      <w:marRight w:val="0"/>
      <w:marTop w:val="0"/>
      <w:marBottom w:val="0"/>
      <w:divBdr>
        <w:top w:val="none" w:sz="0" w:space="0" w:color="auto"/>
        <w:left w:val="none" w:sz="0" w:space="0" w:color="auto"/>
        <w:bottom w:val="none" w:sz="0" w:space="0" w:color="auto"/>
        <w:right w:val="none" w:sz="0" w:space="0" w:color="auto"/>
      </w:divBdr>
    </w:div>
    <w:div w:id="1248613870">
      <w:bodyDiv w:val="1"/>
      <w:marLeft w:val="0"/>
      <w:marRight w:val="0"/>
      <w:marTop w:val="0"/>
      <w:marBottom w:val="0"/>
      <w:divBdr>
        <w:top w:val="none" w:sz="0" w:space="0" w:color="auto"/>
        <w:left w:val="none" w:sz="0" w:space="0" w:color="auto"/>
        <w:bottom w:val="none" w:sz="0" w:space="0" w:color="auto"/>
        <w:right w:val="none" w:sz="0" w:space="0" w:color="auto"/>
      </w:divBdr>
    </w:div>
    <w:div w:id="1257521584">
      <w:bodyDiv w:val="1"/>
      <w:marLeft w:val="0"/>
      <w:marRight w:val="0"/>
      <w:marTop w:val="0"/>
      <w:marBottom w:val="0"/>
      <w:divBdr>
        <w:top w:val="none" w:sz="0" w:space="0" w:color="auto"/>
        <w:left w:val="none" w:sz="0" w:space="0" w:color="auto"/>
        <w:bottom w:val="none" w:sz="0" w:space="0" w:color="auto"/>
        <w:right w:val="none" w:sz="0" w:space="0" w:color="auto"/>
      </w:divBdr>
    </w:div>
    <w:div w:id="1352604203">
      <w:bodyDiv w:val="1"/>
      <w:marLeft w:val="0"/>
      <w:marRight w:val="0"/>
      <w:marTop w:val="0"/>
      <w:marBottom w:val="0"/>
      <w:divBdr>
        <w:top w:val="none" w:sz="0" w:space="0" w:color="auto"/>
        <w:left w:val="none" w:sz="0" w:space="0" w:color="auto"/>
        <w:bottom w:val="none" w:sz="0" w:space="0" w:color="auto"/>
        <w:right w:val="none" w:sz="0" w:space="0" w:color="auto"/>
      </w:divBdr>
    </w:div>
    <w:div w:id="1386218525">
      <w:bodyDiv w:val="1"/>
      <w:marLeft w:val="0"/>
      <w:marRight w:val="0"/>
      <w:marTop w:val="0"/>
      <w:marBottom w:val="0"/>
      <w:divBdr>
        <w:top w:val="none" w:sz="0" w:space="0" w:color="auto"/>
        <w:left w:val="none" w:sz="0" w:space="0" w:color="auto"/>
        <w:bottom w:val="none" w:sz="0" w:space="0" w:color="auto"/>
        <w:right w:val="none" w:sz="0" w:space="0" w:color="auto"/>
      </w:divBdr>
    </w:div>
    <w:div w:id="1405839212">
      <w:bodyDiv w:val="1"/>
      <w:marLeft w:val="0"/>
      <w:marRight w:val="0"/>
      <w:marTop w:val="0"/>
      <w:marBottom w:val="0"/>
      <w:divBdr>
        <w:top w:val="none" w:sz="0" w:space="0" w:color="auto"/>
        <w:left w:val="none" w:sz="0" w:space="0" w:color="auto"/>
        <w:bottom w:val="none" w:sz="0" w:space="0" w:color="auto"/>
        <w:right w:val="none" w:sz="0" w:space="0" w:color="auto"/>
      </w:divBdr>
    </w:div>
    <w:div w:id="1477644087">
      <w:bodyDiv w:val="1"/>
      <w:marLeft w:val="0"/>
      <w:marRight w:val="0"/>
      <w:marTop w:val="0"/>
      <w:marBottom w:val="0"/>
      <w:divBdr>
        <w:top w:val="none" w:sz="0" w:space="0" w:color="auto"/>
        <w:left w:val="none" w:sz="0" w:space="0" w:color="auto"/>
        <w:bottom w:val="none" w:sz="0" w:space="0" w:color="auto"/>
        <w:right w:val="none" w:sz="0" w:space="0" w:color="auto"/>
      </w:divBdr>
    </w:div>
    <w:div w:id="1604147324">
      <w:bodyDiv w:val="1"/>
      <w:marLeft w:val="0"/>
      <w:marRight w:val="0"/>
      <w:marTop w:val="0"/>
      <w:marBottom w:val="0"/>
      <w:divBdr>
        <w:top w:val="none" w:sz="0" w:space="0" w:color="auto"/>
        <w:left w:val="none" w:sz="0" w:space="0" w:color="auto"/>
        <w:bottom w:val="none" w:sz="0" w:space="0" w:color="auto"/>
        <w:right w:val="none" w:sz="0" w:space="0" w:color="auto"/>
      </w:divBdr>
    </w:div>
    <w:div w:id="1613902243">
      <w:bodyDiv w:val="1"/>
      <w:marLeft w:val="0"/>
      <w:marRight w:val="0"/>
      <w:marTop w:val="0"/>
      <w:marBottom w:val="0"/>
      <w:divBdr>
        <w:top w:val="none" w:sz="0" w:space="0" w:color="auto"/>
        <w:left w:val="none" w:sz="0" w:space="0" w:color="auto"/>
        <w:bottom w:val="none" w:sz="0" w:space="0" w:color="auto"/>
        <w:right w:val="none" w:sz="0" w:space="0" w:color="auto"/>
      </w:divBdr>
    </w:div>
    <w:div w:id="1617711904">
      <w:bodyDiv w:val="1"/>
      <w:marLeft w:val="0"/>
      <w:marRight w:val="0"/>
      <w:marTop w:val="0"/>
      <w:marBottom w:val="0"/>
      <w:divBdr>
        <w:top w:val="none" w:sz="0" w:space="0" w:color="auto"/>
        <w:left w:val="none" w:sz="0" w:space="0" w:color="auto"/>
        <w:bottom w:val="none" w:sz="0" w:space="0" w:color="auto"/>
        <w:right w:val="none" w:sz="0" w:space="0" w:color="auto"/>
      </w:divBdr>
    </w:div>
    <w:div w:id="1802962075">
      <w:bodyDiv w:val="1"/>
      <w:marLeft w:val="0"/>
      <w:marRight w:val="0"/>
      <w:marTop w:val="0"/>
      <w:marBottom w:val="0"/>
      <w:divBdr>
        <w:top w:val="none" w:sz="0" w:space="0" w:color="auto"/>
        <w:left w:val="none" w:sz="0" w:space="0" w:color="auto"/>
        <w:bottom w:val="none" w:sz="0" w:space="0" w:color="auto"/>
        <w:right w:val="none" w:sz="0" w:space="0" w:color="auto"/>
      </w:divBdr>
    </w:div>
    <w:div w:id="1825775783">
      <w:bodyDiv w:val="1"/>
      <w:marLeft w:val="0"/>
      <w:marRight w:val="0"/>
      <w:marTop w:val="0"/>
      <w:marBottom w:val="0"/>
      <w:divBdr>
        <w:top w:val="none" w:sz="0" w:space="0" w:color="auto"/>
        <w:left w:val="none" w:sz="0" w:space="0" w:color="auto"/>
        <w:bottom w:val="none" w:sz="0" w:space="0" w:color="auto"/>
        <w:right w:val="none" w:sz="0" w:space="0" w:color="auto"/>
      </w:divBdr>
    </w:div>
    <w:div w:id="1850944704">
      <w:bodyDiv w:val="1"/>
      <w:marLeft w:val="0"/>
      <w:marRight w:val="0"/>
      <w:marTop w:val="0"/>
      <w:marBottom w:val="0"/>
      <w:divBdr>
        <w:top w:val="none" w:sz="0" w:space="0" w:color="auto"/>
        <w:left w:val="none" w:sz="0" w:space="0" w:color="auto"/>
        <w:bottom w:val="none" w:sz="0" w:space="0" w:color="auto"/>
        <w:right w:val="none" w:sz="0" w:space="0" w:color="auto"/>
      </w:divBdr>
    </w:div>
    <w:div w:id="1920476848">
      <w:bodyDiv w:val="1"/>
      <w:marLeft w:val="0"/>
      <w:marRight w:val="0"/>
      <w:marTop w:val="0"/>
      <w:marBottom w:val="0"/>
      <w:divBdr>
        <w:top w:val="none" w:sz="0" w:space="0" w:color="auto"/>
        <w:left w:val="none" w:sz="0" w:space="0" w:color="auto"/>
        <w:bottom w:val="none" w:sz="0" w:space="0" w:color="auto"/>
        <w:right w:val="none" w:sz="0" w:space="0" w:color="auto"/>
      </w:divBdr>
    </w:div>
    <w:div w:id="1990623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s://ijsair.com/"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doi.org/10.65339/ijsair.V2.I1.96" TargetMode="External"/><Relationship Id="rId2" Type="http://schemas.openxmlformats.org/officeDocument/2006/relationships/hyperlink" Target="https://doi.org/10.65339/ijsair.V2.I1.96"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5ang\Downloads\2.%20WJARR%20manuscrip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51A2F-F5A8-4589-93AA-43973A676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 WJARR manuscript template.dotx</Template>
  <TotalTime>24</TotalTime>
  <Pages>4</Pages>
  <Words>9186</Words>
  <Characters>58975</Characters>
  <DocSecurity>0</DocSecurity>
  <Lines>1156</Lines>
  <Paragraphs>428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2026-01-17T03:14:00Z</cp:lastPrinted>
  <dcterms:created xsi:type="dcterms:W3CDTF">2026-03-11T02:14:00Z</dcterms:created>
  <dcterms:modified xsi:type="dcterms:W3CDTF">2026-03-11T15:32:00Z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6295e325-4d00-4019-9ab3-d218c71bca3f</vt:lpwstr>
  </property>
</Properties>
</file>